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790B" w14:textId="77777777"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Teaching Plan </w:t>
      </w:r>
      <w:proofErr w:type="gramStart"/>
      <w:r>
        <w:rPr>
          <w:rFonts w:ascii="Times New Roman" w:hAnsi="Times New Roman" w:cs="Times New Roman"/>
          <w:b/>
          <w:bCs/>
          <w:sz w:val="24"/>
          <w:szCs w:val="24"/>
        </w:rPr>
        <w:t>( 2022</w:t>
      </w:r>
      <w:proofErr w:type="gramEnd"/>
      <w:r w:rsidR="002539BA">
        <w:rPr>
          <w:rFonts w:ascii="Times New Roman" w:hAnsi="Times New Roman" w:cs="Times New Roman"/>
          <w:b/>
          <w:bCs/>
          <w:sz w:val="24"/>
          <w:szCs w:val="24"/>
        </w:rPr>
        <w:t>-23</w:t>
      </w:r>
      <w:r>
        <w:rPr>
          <w:rFonts w:ascii="Times New Roman" w:hAnsi="Times New Roman" w:cs="Times New Roman"/>
          <w:b/>
          <w:bCs/>
          <w:sz w:val="24"/>
          <w:szCs w:val="24"/>
        </w:rPr>
        <w:t>)</w:t>
      </w:r>
    </w:p>
    <w:p w14:paraId="657D7369" w14:textId="77777777"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Dr. Vijay Kumar</w:t>
      </w:r>
    </w:p>
    <w:p w14:paraId="18C169E0" w14:textId="77777777"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Assistant Professor, History Department</w:t>
      </w:r>
    </w:p>
    <w:p w14:paraId="4F076AF9" w14:textId="457F751A"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August to December 2022</w:t>
      </w:r>
    </w:p>
    <w:p w14:paraId="6A9FBFED" w14:textId="77777777"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Paper: </w:t>
      </w:r>
      <w:r>
        <w:rPr>
          <w:rStyle w:val="None"/>
          <w:b/>
          <w:bCs/>
          <w:lang w:val="en-GB"/>
        </w:rPr>
        <w:t>Understanding Heritage (SEC)</w:t>
      </w:r>
    </w:p>
    <w:p w14:paraId="0D92CF67" w14:textId="77777777"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Course: B.A (Hons.) Year: II Sem: III (L: 4)</w:t>
      </w:r>
    </w:p>
    <w:p w14:paraId="542B4FE6" w14:textId="77777777" w:rsidR="00CE397E" w:rsidRDefault="00CE397E" w:rsidP="00CE397E">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Taught: individually </w:t>
      </w:r>
    </w:p>
    <w:p w14:paraId="1CA50E36" w14:textId="77777777" w:rsidR="00CE397E" w:rsidRDefault="00CE397E" w:rsidP="00CE397E">
      <w:pPr>
        <w:pStyle w:val="BodyA"/>
        <w:spacing w:line="240" w:lineRule="auto"/>
        <w:ind w:right="54"/>
        <w:jc w:val="both"/>
        <w:rPr>
          <w:rStyle w:val="None"/>
          <w:lang w:val="en-GB"/>
        </w:rPr>
      </w:pPr>
    </w:p>
    <w:p w14:paraId="031EF76D" w14:textId="77777777" w:rsidR="00CE397E" w:rsidRDefault="00CE397E" w:rsidP="00CE397E">
      <w:pPr>
        <w:pStyle w:val="BodyA"/>
        <w:spacing w:line="240" w:lineRule="auto"/>
        <w:ind w:right="144"/>
        <w:jc w:val="both"/>
        <w:rPr>
          <w:rStyle w:val="None"/>
          <w:b/>
          <w:bCs/>
          <w:lang w:val="en-GB"/>
        </w:rPr>
      </w:pPr>
      <w:r>
        <w:rPr>
          <w:rStyle w:val="None"/>
          <w:b/>
          <w:bCs/>
          <w:lang w:val="en-GB"/>
        </w:rPr>
        <w:t xml:space="preserve">Course Objectives: </w:t>
      </w:r>
    </w:p>
    <w:p w14:paraId="5606C0DA" w14:textId="77777777" w:rsidR="00CE397E" w:rsidRDefault="00CE397E" w:rsidP="00CE397E">
      <w:pPr>
        <w:pStyle w:val="BodyA"/>
        <w:spacing w:line="240" w:lineRule="auto"/>
        <w:ind w:left="720" w:right="144"/>
        <w:jc w:val="both"/>
        <w:rPr>
          <w:rStyle w:val="None"/>
          <w:rFonts w:eastAsia="Times New Roman"/>
          <w:b/>
          <w:bCs/>
          <w:lang w:val="en-GB"/>
        </w:rPr>
      </w:pPr>
    </w:p>
    <w:p w14:paraId="5C214423" w14:textId="77777777" w:rsidR="00CE397E" w:rsidRDefault="00CE397E" w:rsidP="00CE397E">
      <w:pPr>
        <w:pStyle w:val="BodyA"/>
        <w:spacing w:line="240" w:lineRule="auto"/>
        <w:ind w:right="144"/>
        <w:jc w:val="both"/>
        <w:rPr>
          <w:rStyle w:val="None"/>
          <w:lang w:val="en-GB"/>
        </w:rPr>
      </w:pPr>
      <w:r>
        <w:rPr>
          <w:rStyle w:val="None"/>
          <w:lang w:val="en-GB"/>
        </w:rPr>
        <w:t>The aim of this paper is to make students familiar with the concept of heritage and its numerous forms. It will develop the contested character of heritage and why and it needs to be conserved. Paper will also acquaint students with the evolution of heritage legislation and the ways in which its institutional framework developed. Accessing monumental or cultural heritage can be a very difficult task and economic and commercial considerations play an important role. The paper will be of particular value to those who are interested in seeking a career in the travel industry and art and cultural studies.</w:t>
      </w:r>
    </w:p>
    <w:p w14:paraId="033FD480" w14:textId="77777777" w:rsidR="00CE397E" w:rsidRDefault="00CE397E" w:rsidP="002539BA">
      <w:pPr>
        <w:pStyle w:val="BodyA"/>
        <w:spacing w:line="240" w:lineRule="auto"/>
        <w:ind w:right="144"/>
        <w:jc w:val="both"/>
        <w:rPr>
          <w:rStyle w:val="None"/>
          <w:b/>
          <w:bCs/>
          <w:u w:val="single"/>
          <w:lang w:val="en-GB"/>
        </w:rPr>
      </w:pPr>
    </w:p>
    <w:p w14:paraId="42C7E78D" w14:textId="77777777" w:rsidR="00CE397E" w:rsidRDefault="00CE397E" w:rsidP="00CE397E">
      <w:pPr>
        <w:pStyle w:val="BodyA"/>
        <w:spacing w:line="240" w:lineRule="auto"/>
        <w:ind w:left="720" w:right="144"/>
        <w:jc w:val="both"/>
        <w:rPr>
          <w:rStyle w:val="None"/>
          <w:b/>
          <w:bCs/>
          <w:u w:val="single"/>
          <w:lang w:val="en-GB"/>
        </w:rPr>
      </w:pPr>
    </w:p>
    <w:p w14:paraId="0A0AD6C8" w14:textId="77777777" w:rsidR="00CE397E" w:rsidRDefault="00CE397E" w:rsidP="00CE397E">
      <w:pPr>
        <w:pStyle w:val="BodyA"/>
        <w:spacing w:line="240" w:lineRule="auto"/>
        <w:ind w:left="720" w:right="144"/>
        <w:jc w:val="both"/>
        <w:rPr>
          <w:rStyle w:val="None"/>
          <w:b/>
          <w:bCs/>
          <w:lang w:val="en-GB"/>
        </w:rPr>
      </w:pPr>
      <w:r>
        <w:rPr>
          <w:rStyle w:val="None"/>
          <w:b/>
          <w:bCs/>
          <w:lang w:val="en-GB"/>
        </w:rPr>
        <w:t xml:space="preserve">Course Content: </w:t>
      </w:r>
    </w:p>
    <w:p w14:paraId="5CDE76DE" w14:textId="77777777" w:rsidR="00CE397E" w:rsidRDefault="00CE397E" w:rsidP="00CE397E">
      <w:pPr>
        <w:pStyle w:val="BodyA"/>
        <w:spacing w:line="240" w:lineRule="auto"/>
        <w:ind w:left="720" w:right="144"/>
        <w:jc w:val="both"/>
        <w:rPr>
          <w:rStyle w:val="None"/>
          <w:b/>
          <w:bCs/>
          <w:lang w:val="en-GB"/>
        </w:rPr>
      </w:pPr>
    </w:p>
    <w:p w14:paraId="5D831609" w14:textId="77777777" w:rsidR="00CE397E" w:rsidRDefault="00CE397E" w:rsidP="00CE397E">
      <w:pPr>
        <w:pStyle w:val="BodyText"/>
        <w:ind w:left="820" w:right="258"/>
        <w:jc w:val="both"/>
      </w:pPr>
      <w:r>
        <w:rPr>
          <w:rStyle w:val="None"/>
          <w:rFonts w:eastAsia="Symbol"/>
          <w:b/>
          <w:bCs/>
          <w:lang w:val="en-GB"/>
        </w:rPr>
        <w:t xml:space="preserve">Unit I: Defining heritage: </w:t>
      </w:r>
    </w:p>
    <w:p w14:paraId="08F14CFC" w14:textId="77777777" w:rsidR="00CE397E" w:rsidRDefault="00CE397E" w:rsidP="00CE397E">
      <w:pPr>
        <w:pStyle w:val="BodyA"/>
        <w:spacing w:line="240" w:lineRule="auto"/>
        <w:ind w:right="144"/>
        <w:jc w:val="both"/>
        <w:rPr>
          <w:rStyle w:val="None"/>
          <w:rFonts w:ascii="Times New Roman" w:hAnsi="Times New Roman" w:cs="Times New Roman"/>
          <w:sz w:val="24"/>
          <w:szCs w:val="24"/>
          <w:lang w:val="en-GB"/>
        </w:rPr>
      </w:pPr>
      <w:r>
        <w:rPr>
          <w:rStyle w:val="None"/>
          <w:b/>
          <w:bCs/>
          <w:lang w:val="en-GB"/>
        </w:rPr>
        <w:t xml:space="preserve">            </w:t>
      </w:r>
      <w:r>
        <w:rPr>
          <w:rStyle w:val="None"/>
          <w:lang w:val="en-GB"/>
        </w:rPr>
        <w:t>Meaning of ‘antiquity’, ‘archaeological site’, ‘tangible heritage’, ‘intangible</w:t>
      </w:r>
    </w:p>
    <w:p w14:paraId="2C2320BC" w14:textId="77777777" w:rsidR="00CE397E" w:rsidRDefault="00CE397E" w:rsidP="00CE397E">
      <w:pPr>
        <w:pStyle w:val="BodyA"/>
        <w:spacing w:line="240" w:lineRule="auto"/>
        <w:ind w:right="144"/>
        <w:jc w:val="both"/>
        <w:rPr>
          <w:rStyle w:val="None"/>
          <w:rFonts w:eastAsia="Times New Roman"/>
          <w:lang w:val="en-GB"/>
        </w:rPr>
      </w:pPr>
      <w:r>
        <w:rPr>
          <w:rStyle w:val="None"/>
          <w:lang w:val="en-GB"/>
        </w:rPr>
        <w:t xml:space="preserve">            heritage’ and ‘art treasure’</w:t>
      </w:r>
    </w:p>
    <w:p w14:paraId="5AABA72F" w14:textId="77777777" w:rsidR="00CE397E" w:rsidRDefault="00CE397E" w:rsidP="00CE397E">
      <w:pPr>
        <w:pStyle w:val="BodyA"/>
        <w:spacing w:line="240" w:lineRule="auto"/>
        <w:ind w:left="720" w:right="144"/>
        <w:jc w:val="both"/>
        <w:rPr>
          <w:rStyle w:val="None"/>
          <w:b/>
          <w:bCs/>
          <w:lang w:val="en-GB"/>
        </w:rPr>
      </w:pPr>
    </w:p>
    <w:p w14:paraId="06399C94" w14:textId="77777777" w:rsidR="00CE397E" w:rsidRDefault="00CE397E" w:rsidP="00CE397E">
      <w:pPr>
        <w:pStyle w:val="BodyA"/>
        <w:spacing w:line="240" w:lineRule="auto"/>
        <w:ind w:left="720" w:right="144"/>
        <w:jc w:val="both"/>
        <w:rPr>
          <w:rStyle w:val="None"/>
          <w:b/>
          <w:bCs/>
          <w:lang w:val="en-GB"/>
        </w:rPr>
      </w:pPr>
      <w:r>
        <w:rPr>
          <w:rStyle w:val="None"/>
          <w:b/>
          <w:bCs/>
          <w:lang w:val="en-GB"/>
        </w:rPr>
        <w:t xml:space="preserve">Unit II: Evolution of heritage legislation and the institutional framework: </w:t>
      </w:r>
    </w:p>
    <w:p w14:paraId="6B389FD2" w14:textId="77777777" w:rsidR="00CE397E" w:rsidRDefault="00CE397E" w:rsidP="00CE397E">
      <w:pPr>
        <w:pStyle w:val="BodyA"/>
        <w:spacing w:line="240" w:lineRule="auto"/>
        <w:ind w:left="720" w:right="144"/>
        <w:jc w:val="both"/>
        <w:rPr>
          <w:rStyle w:val="None"/>
          <w:b/>
          <w:bCs/>
          <w:lang w:val="en-GB"/>
        </w:rPr>
      </w:pPr>
    </w:p>
    <w:p w14:paraId="7658351F" w14:textId="77777777" w:rsidR="00CE397E" w:rsidRDefault="00CE397E" w:rsidP="00CE397E">
      <w:pPr>
        <w:pStyle w:val="BodyA"/>
        <w:spacing w:line="240" w:lineRule="auto"/>
        <w:ind w:left="2160" w:right="144"/>
        <w:jc w:val="both"/>
        <w:rPr>
          <w:rStyle w:val="None"/>
          <w:lang w:val="en-GB"/>
        </w:rPr>
      </w:pPr>
      <w:r>
        <w:rPr>
          <w:rStyle w:val="None"/>
          <w:lang w:val="en-GB"/>
        </w:rPr>
        <w:t>[a] Conventions and Acts -- national and international</w:t>
      </w:r>
    </w:p>
    <w:p w14:paraId="30FACD97" w14:textId="77777777" w:rsidR="00CE397E" w:rsidRDefault="00CE397E" w:rsidP="00CE397E">
      <w:pPr>
        <w:pStyle w:val="BodyA"/>
        <w:spacing w:line="240" w:lineRule="auto"/>
        <w:ind w:left="2160" w:right="144"/>
        <w:jc w:val="both"/>
        <w:rPr>
          <w:rStyle w:val="None"/>
          <w:lang w:val="en-GB"/>
        </w:rPr>
      </w:pPr>
      <w:r>
        <w:rPr>
          <w:rStyle w:val="None"/>
          <w:lang w:val="en-GB"/>
        </w:rPr>
        <w:t>[b] Heritage-related government departments, museums, regulatory bodies</w:t>
      </w:r>
    </w:p>
    <w:p w14:paraId="20ADDFEA" w14:textId="77777777" w:rsidR="00CE397E" w:rsidRDefault="00CE397E" w:rsidP="00CE397E">
      <w:pPr>
        <w:pStyle w:val="BodyA"/>
        <w:spacing w:line="240" w:lineRule="auto"/>
        <w:ind w:left="2160" w:right="144"/>
        <w:jc w:val="both"/>
        <w:rPr>
          <w:rStyle w:val="None"/>
          <w:lang w:val="en-GB"/>
        </w:rPr>
      </w:pPr>
      <w:r>
        <w:rPr>
          <w:rStyle w:val="None"/>
          <w:lang w:val="en-GB"/>
        </w:rPr>
        <w:t>[c] Conservation initiatives</w:t>
      </w:r>
    </w:p>
    <w:p w14:paraId="4973E77A" w14:textId="77777777" w:rsidR="00CE397E" w:rsidRDefault="00CE397E" w:rsidP="00CE397E">
      <w:pPr>
        <w:pStyle w:val="BodyA"/>
        <w:spacing w:line="240" w:lineRule="auto"/>
        <w:ind w:left="2160" w:right="144"/>
        <w:jc w:val="both"/>
        <w:rPr>
          <w:rStyle w:val="None"/>
          <w:lang w:val="en-GB"/>
        </w:rPr>
      </w:pPr>
    </w:p>
    <w:p w14:paraId="7E841A7E" w14:textId="77777777" w:rsidR="00CE397E" w:rsidRDefault="00CE397E" w:rsidP="00CE397E">
      <w:pPr>
        <w:pStyle w:val="BodyA"/>
        <w:spacing w:line="240" w:lineRule="auto"/>
        <w:ind w:left="720" w:right="144"/>
        <w:jc w:val="both"/>
        <w:rPr>
          <w:rStyle w:val="None"/>
          <w:b/>
          <w:bCs/>
          <w:lang w:val="en-GB"/>
        </w:rPr>
      </w:pPr>
      <w:r>
        <w:rPr>
          <w:rStyle w:val="None"/>
          <w:b/>
          <w:bCs/>
          <w:lang w:val="en-GB"/>
        </w:rPr>
        <w:t xml:space="preserve">Unit III: Challenges facing tangible and intangible heritage </w:t>
      </w:r>
    </w:p>
    <w:p w14:paraId="2CF9588C" w14:textId="77777777" w:rsidR="00CE397E" w:rsidRDefault="00CE397E" w:rsidP="00CE397E">
      <w:pPr>
        <w:pStyle w:val="BodyA"/>
        <w:spacing w:line="240" w:lineRule="auto"/>
        <w:ind w:left="1440" w:right="144"/>
        <w:jc w:val="both"/>
        <w:rPr>
          <w:rStyle w:val="None"/>
          <w:lang w:val="en-GB"/>
        </w:rPr>
      </w:pPr>
      <w:r>
        <w:rPr>
          <w:rStyle w:val="None"/>
          <w:lang w:val="en-GB"/>
        </w:rPr>
        <w:t>Development, antiquity smuggling, conflict (specific cases studies)</w:t>
      </w:r>
    </w:p>
    <w:p w14:paraId="74C6C79A" w14:textId="77777777" w:rsidR="00CE397E" w:rsidRDefault="00CE397E" w:rsidP="00CE397E">
      <w:pPr>
        <w:pStyle w:val="BodyA"/>
        <w:spacing w:line="240" w:lineRule="auto"/>
        <w:ind w:left="1080" w:right="144"/>
        <w:jc w:val="both"/>
        <w:rPr>
          <w:rStyle w:val="None"/>
          <w:lang w:val="en-GB"/>
        </w:rPr>
      </w:pPr>
    </w:p>
    <w:p w14:paraId="08E4497F" w14:textId="77777777" w:rsidR="00CE397E" w:rsidRDefault="00CE397E" w:rsidP="00CE397E">
      <w:pPr>
        <w:pStyle w:val="BodyText"/>
        <w:ind w:left="820" w:right="258"/>
        <w:jc w:val="both"/>
        <w:rPr>
          <w:rStyle w:val="None"/>
          <w:bCs/>
          <w:lang w:val="en-GB"/>
        </w:rPr>
      </w:pPr>
      <w:r>
        <w:rPr>
          <w:rStyle w:val="None"/>
          <w:rFonts w:eastAsia="Symbol"/>
          <w:b/>
          <w:bCs/>
          <w:lang w:val="en-GB"/>
        </w:rPr>
        <w:t>Unit IV: Heritage and travel:</w:t>
      </w:r>
      <w:r>
        <w:rPr>
          <w:b/>
        </w:rPr>
        <w:t xml:space="preserve"> </w:t>
      </w:r>
    </w:p>
    <w:p w14:paraId="38E44C01" w14:textId="77777777" w:rsidR="00CE397E" w:rsidRDefault="00CE397E" w:rsidP="00CE397E">
      <w:pPr>
        <w:pStyle w:val="BodyA"/>
        <w:spacing w:line="240" w:lineRule="auto"/>
        <w:ind w:right="144"/>
        <w:jc w:val="both"/>
        <w:rPr>
          <w:rStyle w:val="None"/>
          <w:lang w:val="en-GB"/>
        </w:rPr>
      </w:pPr>
      <w:r>
        <w:rPr>
          <w:rStyle w:val="None"/>
          <w:lang w:val="en-GB"/>
        </w:rPr>
        <w:t xml:space="preserve">                      [a] Viewing heritage sites</w:t>
      </w:r>
    </w:p>
    <w:p w14:paraId="2944850D" w14:textId="77777777" w:rsidR="00CE397E" w:rsidRDefault="00CE397E" w:rsidP="00CE397E">
      <w:pPr>
        <w:pStyle w:val="BodyA"/>
        <w:spacing w:line="240" w:lineRule="auto"/>
        <w:ind w:right="144"/>
        <w:jc w:val="both"/>
        <w:rPr>
          <w:rStyle w:val="None"/>
          <w:lang w:val="en-GB"/>
        </w:rPr>
      </w:pPr>
      <w:r>
        <w:rPr>
          <w:rStyle w:val="None"/>
          <w:lang w:val="en-GB"/>
        </w:rPr>
        <w:t xml:space="preserve">                      [b] The relationship between cultural heritage, landscape and travel; recent         trends</w:t>
      </w:r>
    </w:p>
    <w:p w14:paraId="44B11086" w14:textId="77777777" w:rsidR="00CE397E" w:rsidRDefault="00CE397E" w:rsidP="00CE397E">
      <w:pPr>
        <w:pStyle w:val="BodyA"/>
        <w:spacing w:line="240" w:lineRule="auto"/>
        <w:ind w:left="2160" w:right="144"/>
        <w:jc w:val="both"/>
        <w:rPr>
          <w:rStyle w:val="None"/>
          <w:lang w:val="en-GB"/>
        </w:rPr>
      </w:pPr>
    </w:p>
    <w:p w14:paraId="57D3C57C" w14:textId="77777777" w:rsidR="00CE397E" w:rsidRDefault="00CE397E" w:rsidP="00CE397E">
      <w:pPr>
        <w:pStyle w:val="BodyA"/>
        <w:spacing w:line="240" w:lineRule="auto"/>
        <w:ind w:left="720" w:right="144"/>
        <w:jc w:val="both"/>
        <w:rPr>
          <w:rStyle w:val="None"/>
          <w:b/>
          <w:bCs/>
          <w:lang w:val="en-GB"/>
        </w:rPr>
      </w:pPr>
      <w:r>
        <w:rPr>
          <w:rStyle w:val="None"/>
          <w:b/>
          <w:bCs/>
          <w:lang w:val="en-GB"/>
        </w:rPr>
        <w:t>Unit V: A visit to a heritage site is an essential part of this course. (We will look over the possibility of this visit keeping current situation in mind)</w:t>
      </w:r>
    </w:p>
    <w:p w14:paraId="724C19F5" w14:textId="77777777" w:rsidR="00CE397E" w:rsidRDefault="00CE397E" w:rsidP="00CE397E">
      <w:pPr>
        <w:pStyle w:val="BodyA"/>
        <w:spacing w:line="240" w:lineRule="auto"/>
        <w:ind w:left="720" w:right="144"/>
        <w:jc w:val="both"/>
        <w:rPr>
          <w:rStyle w:val="None"/>
          <w:lang w:val="en-GB"/>
        </w:rPr>
      </w:pPr>
    </w:p>
    <w:p w14:paraId="6C8CCC21" w14:textId="77777777" w:rsidR="00CE397E" w:rsidRDefault="00CE397E" w:rsidP="00CE397E">
      <w:pPr>
        <w:pStyle w:val="BodyA"/>
        <w:spacing w:line="240" w:lineRule="auto"/>
        <w:ind w:right="144"/>
        <w:jc w:val="both"/>
        <w:rPr>
          <w:rStyle w:val="None"/>
          <w:b/>
          <w:bCs/>
          <w:lang w:val="en-GB"/>
        </w:rPr>
      </w:pPr>
      <w:r>
        <w:rPr>
          <w:rStyle w:val="None"/>
          <w:b/>
          <w:bCs/>
          <w:lang w:val="en-GB"/>
        </w:rPr>
        <w:t xml:space="preserve">         </w:t>
      </w:r>
    </w:p>
    <w:p w14:paraId="707FFF34" w14:textId="77777777" w:rsidR="00CE397E" w:rsidRDefault="00CE397E" w:rsidP="00CE397E">
      <w:pPr>
        <w:pStyle w:val="BodyA"/>
        <w:spacing w:line="240" w:lineRule="auto"/>
        <w:ind w:right="144"/>
        <w:jc w:val="both"/>
        <w:rPr>
          <w:rStyle w:val="None"/>
          <w:b/>
          <w:bCs/>
          <w:lang w:val="en-GB"/>
        </w:rPr>
      </w:pPr>
    </w:p>
    <w:p w14:paraId="796E5969" w14:textId="77777777" w:rsidR="00CE397E" w:rsidRDefault="00CE397E" w:rsidP="00CE397E">
      <w:pPr>
        <w:pStyle w:val="BodyA"/>
        <w:spacing w:line="240" w:lineRule="auto"/>
        <w:ind w:right="144"/>
        <w:jc w:val="both"/>
        <w:rPr>
          <w:rStyle w:val="None"/>
          <w:b/>
          <w:bCs/>
          <w:u w:val="single"/>
          <w:lang w:val="en-GB"/>
        </w:rPr>
      </w:pPr>
      <w:r>
        <w:rPr>
          <w:rStyle w:val="None"/>
          <w:b/>
          <w:bCs/>
          <w:u w:val="single"/>
          <w:lang w:val="en-GB"/>
        </w:rPr>
        <w:t>ESSENTIAL READINGS ANS UNITWISE TEACHING OUTCOMES</w:t>
      </w:r>
    </w:p>
    <w:p w14:paraId="1969042A" w14:textId="77777777" w:rsidR="00CE397E" w:rsidRDefault="00CE397E" w:rsidP="00CE397E">
      <w:pPr>
        <w:pStyle w:val="BodyA"/>
        <w:spacing w:line="240" w:lineRule="auto"/>
        <w:ind w:left="720" w:right="144"/>
        <w:jc w:val="both"/>
        <w:rPr>
          <w:rStyle w:val="None"/>
          <w:b/>
          <w:bCs/>
          <w:lang w:val="en-GB"/>
        </w:rPr>
      </w:pPr>
    </w:p>
    <w:p w14:paraId="6CD16BD6" w14:textId="77777777" w:rsidR="00CE397E" w:rsidRDefault="00CE397E" w:rsidP="00CE397E">
      <w:pPr>
        <w:pStyle w:val="BodyA"/>
        <w:spacing w:line="240" w:lineRule="auto"/>
        <w:ind w:left="720" w:right="144"/>
        <w:jc w:val="both"/>
        <w:rPr>
          <w:rStyle w:val="None"/>
          <w:bCs/>
          <w:lang w:val="en-GB"/>
        </w:rPr>
      </w:pPr>
      <w:r>
        <w:rPr>
          <w:rStyle w:val="None"/>
          <w:b/>
          <w:bCs/>
          <w:lang w:val="en-GB"/>
        </w:rPr>
        <w:t>Unit-I:</w:t>
      </w:r>
      <w:r>
        <w:rPr>
          <w:rStyle w:val="None"/>
          <w:lang w:val="en-GB"/>
        </w:rPr>
        <w:t xml:space="preserve"> This unit will introduce the meaning/s of heritage and associated politics. For a better understanding students will be encouraged to engage with terms like the meaning of ‘antiquity’, ‘archaeological site’, ‘tangible heritage’, ‘intangible heritage’ and ‘art treasure’.</w:t>
      </w:r>
      <w:r w:rsidRPr="00CE397E">
        <w:rPr>
          <w:rFonts w:ascii="Times New Roman" w:hAnsi="Times New Roman" w:cs="Times New Roman"/>
          <w:b/>
          <w:sz w:val="24"/>
          <w:szCs w:val="24"/>
        </w:rPr>
        <w:t xml:space="preserve"> </w:t>
      </w:r>
      <w:r>
        <w:rPr>
          <w:rFonts w:ascii="Times New Roman" w:hAnsi="Times New Roman" w:cs="Times New Roman"/>
          <w:b/>
          <w:sz w:val="24"/>
          <w:szCs w:val="24"/>
        </w:rPr>
        <w:t>(Teaching time:</w:t>
      </w:r>
      <w:r>
        <w:rPr>
          <w:rFonts w:ascii="Times New Roman" w:hAnsi="Times New Roman" w:cs="Times New Roman"/>
          <w:b/>
          <w:spacing w:val="-57"/>
          <w:sz w:val="24"/>
          <w:szCs w:val="24"/>
        </w:rPr>
        <w:t xml:space="preserve"> </w:t>
      </w:r>
      <w:r>
        <w:rPr>
          <w:rFonts w:ascii="Times New Roman" w:hAnsi="Times New Roman" w:cs="Times New Roman"/>
          <w:b/>
          <w:sz w:val="24"/>
          <w:szCs w:val="24"/>
        </w:rPr>
        <w:t>4</w:t>
      </w:r>
      <w:r>
        <w:rPr>
          <w:rFonts w:ascii="Times New Roman" w:hAnsi="Times New Roman" w:cs="Times New Roman"/>
          <w:b/>
          <w:spacing w:val="-1"/>
          <w:sz w:val="24"/>
          <w:szCs w:val="24"/>
        </w:rPr>
        <w:t xml:space="preserve"> </w:t>
      </w:r>
      <w:r>
        <w:rPr>
          <w:rFonts w:ascii="Times New Roman" w:hAnsi="Times New Roman" w:cs="Times New Roman"/>
          <w:b/>
          <w:sz w:val="24"/>
          <w:szCs w:val="24"/>
        </w:rPr>
        <w:t>weeks</w:t>
      </w:r>
      <w:r>
        <w:rPr>
          <w:rFonts w:ascii="Times New Roman" w:hAnsi="Times New Roman" w:cs="Times New Roman"/>
          <w:b/>
          <w:spacing w:val="-14"/>
          <w:sz w:val="24"/>
          <w:szCs w:val="24"/>
        </w:rPr>
        <w:t xml:space="preserve"> </w:t>
      </w:r>
      <w:r>
        <w:rPr>
          <w:rFonts w:ascii="Times New Roman" w:hAnsi="Times New Roman" w:cs="Times New Roman"/>
          <w:b/>
          <w:sz w:val="24"/>
          <w:szCs w:val="24"/>
        </w:rPr>
        <w:t>Approx.)</w:t>
      </w:r>
    </w:p>
    <w:p w14:paraId="3922F3DE" w14:textId="77777777" w:rsidR="00CE397E" w:rsidRDefault="00CE397E" w:rsidP="00CE397E">
      <w:pPr>
        <w:pStyle w:val="BodyA"/>
        <w:spacing w:line="240" w:lineRule="auto"/>
        <w:ind w:left="720" w:right="144"/>
        <w:jc w:val="both"/>
        <w:rPr>
          <w:rStyle w:val="None"/>
          <w:bCs/>
          <w:lang w:val="en-GB"/>
        </w:rPr>
      </w:pPr>
    </w:p>
    <w:p w14:paraId="0CF260B2" w14:textId="77777777" w:rsidR="00CE397E" w:rsidRDefault="00CE397E" w:rsidP="00CE397E">
      <w:pPr>
        <w:pStyle w:val="BodyA"/>
        <w:spacing w:line="240" w:lineRule="auto"/>
        <w:ind w:left="720" w:right="144"/>
        <w:jc w:val="both"/>
        <w:rPr>
          <w:rStyle w:val="None"/>
          <w:b/>
          <w:bCs/>
          <w:lang w:val="en-GB"/>
        </w:rPr>
      </w:pPr>
      <w:r>
        <w:t xml:space="preserve">Unit-II: This unit deals with the history of heritage legislation. It also elaborates upon the </w:t>
      </w:r>
      <w:proofErr w:type="spellStart"/>
      <w:r>
        <w:t>insti</w:t>
      </w:r>
      <w:proofErr w:type="spellEnd"/>
      <w:r>
        <w:t>-</w:t>
      </w:r>
      <w:r>
        <w:rPr>
          <w:spacing w:val="1"/>
        </w:rPr>
        <w:t xml:space="preserve"> </w:t>
      </w:r>
      <w:proofErr w:type="spellStart"/>
      <w:r>
        <w:t>tutional</w:t>
      </w:r>
      <w:proofErr w:type="spellEnd"/>
      <w:r>
        <w:t xml:space="preserve"> framework which manages heritage in India and at the global level. It will also examine</w:t>
      </w:r>
      <w:r>
        <w:rPr>
          <w:spacing w:val="1"/>
        </w:rPr>
        <w:t xml:space="preserve"> </w:t>
      </w:r>
      <w:r>
        <w:rPr>
          <w:spacing w:val="-1"/>
        </w:rPr>
        <w:t>the</w:t>
      </w:r>
      <w:r>
        <w:rPr>
          <w:spacing w:val="-3"/>
        </w:rPr>
        <w:t xml:space="preserve"> </w:t>
      </w:r>
      <w:r>
        <w:rPr>
          <w:spacing w:val="-1"/>
        </w:rPr>
        <w:t>nature</w:t>
      </w:r>
      <w:r>
        <w:rPr>
          <w:spacing w:val="-2"/>
        </w:rPr>
        <w:t xml:space="preserve"> </w:t>
      </w:r>
      <w:r>
        <w:rPr>
          <w:spacing w:val="-1"/>
        </w:rPr>
        <w:t xml:space="preserve">and </w:t>
      </w:r>
      <w:r>
        <w:t>relevance</w:t>
      </w:r>
      <w:r>
        <w:rPr>
          <w:spacing w:val="-3"/>
        </w:rPr>
        <w:t xml:space="preserve"> </w:t>
      </w:r>
      <w:r>
        <w:t>of</w:t>
      </w:r>
      <w:r>
        <w:rPr>
          <w:spacing w:val="-1"/>
        </w:rPr>
        <w:t xml:space="preserve"> </w:t>
      </w:r>
      <w:r>
        <w:t>conservation</w:t>
      </w:r>
      <w:r>
        <w:rPr>
          <w:spacing w:val="-1"/>
        </w:rPr>
        <w:t xml:space="preserve"> </w:t>
      </w:r>
      <w:r>
        <w:t xml:space="preserve">initiatives. </w:t>
      </w:r>
      <w:r>
        <w:rPr>
          <w:spacing w:val="-1"/>
        </w:rPr>
        <w:t xml:space="preserve"> </w:t>
      </w:r>
      <w:r>
        <w:rPr>
          <w:rFonts w:ascii="Times New Roman" w:hAnsi="Times New Roman" w:cs="Times New Roman"/>
          <w:b/>
          <w:sz w:val="24"/>
          <w:szCs w:val="24"/>
        </w:rPr>
        <w:t>(Teaching time:</w:t>
      </w:r>
      <w:r>
        <w:rPr>
          <w:rFonts w:ascii="Times New Roman" w:hAnsi="Times New Roman" w:cs="Times New Roman"/>
          <w:b/>
          <w:spacing w:val="-57"/>
          <w:sz w:val="24"/>
          <w:szCs w:val="24"/>
        </w:rPr>
        <w:t xml:space="preserve"> </w:t>
      </w:r>
      <w:r>
        <w:rPr>
          <w:rFonts w:ascii="Times New Roman" w:hAnsi="Times New Roman" w:cs="Times New Roman"/>
          <w:b/>
          <w:sz w:val="24"/>
          <w:szCs w:val="24"/>
        </w:rPr>
        <w:t>4</w:t>
      </w:r>
      <w:r>
        <w:rPr>
          <w:rFonts w:ascii="Times New Roman" w:hAnsi="Times New Roman" w:cs="Times New Roman"/>
          <w:b/>
          <w:spacing w:val="-1"/>
          <w:sz w:val="24"/>
          <w:szCs w:val="24"/>
        </w:rPr>
        <w:t xml:space="preserve"> </w:t>
      </w:r>
      <w:r>
        <w:rPr>
          <w:rFonts w:ascii="Times New Roman" w:hAnsi="Times New Roman" w:cs="Times New Roman"/>
          <w:b/>
          <w:sz w:val="24"/>
          <w:szCs w:val="24"/>
        </w:rPr>
        <w:t>weeks</w:t>
      </w:r>
      <w:r>
        <w:rPr>
          <w:rFonts w:ascii="Times New Roman" w:hAnsi="Times New Roman" w:cs="Times New Roman"/>
          <w:b/>
          <w:spacing w:val="-14"/>
          <w:sz w:val="24"/>
          <w:szCs w:val="24"/>
        </w:rPr>
        <w:t xml:space="preserve"> </w:t>
      </w:r>
      <w:r>
        <w:rPr>
          <w:rFonts w:ascii="Times New Roman" w:hAnsi="Times New Roman" w:cs="Times New Roman"/>
          <w:b/>
          <w:sz w:val="24"/>
          <w:szCs w:val="24"/>
        </w:rPr>
        <w:t>Approx.)</w:t>
      </w:r>
    </w:p>
    <w:p w14:paraId="4974465C" w14:textId="77777777" w:rsidR="00CE397E" w:rsidRDefault="00CE397E" w:rsidP="00CE397E">
      <w:pPr>
        <w:pStyle w:val="BodyText"/>
        <w:spacing w:line="302" w:lineRule="auto"/>
        <w:ind w:right="258"/>
        <w:jc w:val="both"/>
      </w:pPr>
    </w:p>
    <w:p w14:paraId="0CBC0C05" w14:textId="77777777" w:rsidR="00CE397E" w:rsidRDefault="00CE397E" w:rsidP="00CE397E">
      <w:pPr>
        <w:pStyle w:val="BodyText"/>
        <w:spacing w:before="7"/>
        <w:rPr>
          <w:b/>
          <w:sz w:val="23"/>
        </w:rPr>
      </w:pPr>
    </w:p>
    <w:p w14:paraId="2525D211" w14:textId="77777777" w:rsidR="00CE397E" w:rsidRDefault="00CE397E" w:rsidP="00CE397E">
      <w:pPr>
        <w:pStyle w:val="ListParagraph"/>
        <w:widowControl w:val="0"/>
        <w:numPr>
          <w:ilvl w:val="1"/>
          <w:numId w:val="1"/>
        </w:numPr>
        <w:tabs>
          <w:tab w:val="left" w:pos="1180"/>
        </w:tabs>
        <w:autoSpaceDE w:val="0"/>
        <w:autoSpaceDN w:val="0"/>
        <w:spacing w:after="0" w:line="290" w:lineRule="auto"/>
        <w:ind w:right="258"/>
        <w:rPr>
          <w:rFonts w:ascii="Symbol" w:hAnsi="Symbol"/>
          <w:sz w:val="24"/>
        </w:rPr>
      </w:pPr>
      <w:r>
        <w:rPr>
          <w:sz w:val="24"/>
        </w:rPr>
        <w:t>Biswas, S.S.</w:t>
      </w:r>
      <w:r>
        <w:rPr>
          <w:spacing w:val="1"/>
          <w:sz w:val="24"/>
        </w:rPr>
        <w:t xml:space="preserve"> </w:t>
      </w:r>
      <w:r>
        <w:rPr>
          <w:sz w:val="24"/>
        </w:rPr>
        <w:t xml:space="preserve">(1999). </w:t>
      </w:r>
      <w:r>
        <w:rPr>
          <w:i/>
          <w:sz w:val="24"/>
        </w:rPr>
        <w:t>Protecting</w:t>
      </w:r>
      <w:r>
        <w:rPr>
          <w:i/>
          <w:spacing w:val="1"/>
          <w:sz w:val="24"/>
        </w:rPr>
        <w:t xml:space="preserve"> </w:t>
      </w:r>
      <w:r>
        <w:rPr>
          <w:i/>
          <w:sz w:val="24"/>
        </w:rPr>
        <w:t>the Cultural</w:t>
      </w:r>
      <w:r>
        <w:rPr>
          <w:i/>
          <w:spacing w:val="1"/>
          <w:sz w:val="24"/>
        </w:rPr>
        <w:t xml:space="preserve"> </w:t>
      </w:r>
      <w:r>
        <w:rPr>
          <w:i/>
          <w:sz w:val="24"/>
        </w:rPr>
        <w:t xml:space="preserve">Heritage </w:t>
      </w:r>
      <w:r>
        <w:rPr>
          <w:sz w:val="24"/>
        </w:rPr>
        <w:t>(National</w:t>
      </w:r>
      <w:r>
        <w:rPr>
          <w:spacing w:val="1"/>
          <w:sz w:val="24"/>
        </w:rPr>
        <w:t xml:space="preserve"> </w:t>
      </w:r>
      <w:r>
        <w:rPr>
          <w:sz w:val="24"/>
        </w:rPr>
        <w:t>Legislation and</w:t>
      </w:r>
      <w:r>
        <w:rPr>
          <w:spacing w:val="1"/>
          <w:sz w:val="24"/>
        </w:rPr>
        <w:t xml:space="preserve"> </w:t>
      </w:r>
      <w:r>
        <w:rPr>
          <w:sz w:val="24"/>
        </w:rPr>
        <w:t>International</w:t>
      </w:r>
      <w:r>
        <w:rPr>
          <w:spacing w:val="-57"/>
          <w:sz w:val="24"/>
        </w:rPr>
        <w:t xml:space="preserve"> </w:t>
      </w:r>
      <w:r>
        <w:rPr>
          <w:sz w:val="24"/>
        </w:rPr>
        <w:t>Conventions).</w:t>
      </w:r>
      <w:r>
        <w:rPr>
          <w:spacing w:val="-1"/>
          <w:sz w:val="24"/>
        </w:rPr>
        <w:t xml:space="preserve"> </w:t>
      </w:r>
      <w:r>
        <w:rPr>
          <w:sz w:val="24"/>
        </w:rPr>
        <w:t>New Delhi: INTACH,</w:t>
      </w:r>
    </w:p>
    <w:p w14:paraId="36F89D22" w14:textId="77777777" w:rsidR="00CE397E" w:rsidRDefault="00CE397E" w:rsidP="00CE397E">
      <w:pPr>
        <w:pStyle w:val="ListParagraph"/>
        <w:widowControl w:val="0"/>
        <w:numPr>
          <w:ilvl w:val="1"/>
          <w:numId w:val="1"/>
        </w:numPr>
        <w:tabs>
          <w:tab w:val="left" w:pos="1180"/>
        </w:tabs>
        <w:autoSpaceDE w:val="0"/>
        <w:autoSpaceDN w:val="0"/>
        <w:spacing w:after="0" w:line="279" w:lineRule="exact"/>
        <w:rPr>
          <w:rFonts w:ascii="Symbol" w:hAnsi="Symbol"/>
          <w:i/>
          <w:sz w:val="24"/>
        </w:rPr>
      </w:pPr>
      <w:r>
        <w:rPr>
          <w:sz w:val="24"/>
        </w:rPr>
        <w:t>Layton,</w:t>
      </w:r>
      <w:r>
        <w:rPr>
          <w:spacing w:val="-1"/>
          <w:sz w:val="24"/>
        </w:rPr>
        <w:t xml:space="preserve"> </w:t>
      </w:r>
      <w:r>
        <w:rPr>
          <w:sz w:val="24"/>
        </w:rPr>
        <w:t>R.P.</w:t>
      </w:r>
      <w:r>
        <w:rPr>
          <w:spacing w:val="-1"/>
          <w:sz w:val="24"/>
        </w:rPr>
        <w:t xml:space="preserve"> </w:t>
      </w:r>
      <w:r>
        <w:rPr>
          <w:sz w:val="24"/>
        </w:rPr>
        <w:t>Stone and</w:t>
      </w:r>
      <w:r>
        <w:rPr>
          <w:spacing w:val="-1"/>
          <w:sz w:val="24"/>
        </w:rPr>
        <w:t xml:space="preserve"> </w:t>
      </w:r>
      <w:r>
        <w:rPr>
          <w:sz w:val="24"/>
        </w:rPr>
        <w:t>J.</w:t>
      </w:r>
      <w:r>
        <w:rPr>
          <w:spacing w:val="-4"/>
          <w:sz w:val="24"/>
        </w:rPr>
        <w:t xml:space="preserve"> </w:t>
      </w:r>
      <w:r>
        <w:rPr>
          <w:sz w:val="24"/>
        </w:rPr>
        <w:t>Thomas.</w:t>
      </w:r>
      <w:r>
        <w:rPr>
          <w:spacing w:val="-1"/>
          <w:sz w:val="24"/>
        </w:rPr>
        <w:t xml:space="preserve"> </w:t>
      </w:r>
      <w:r>
        <w:rPr>
          <w:sz w:val="24"/>
        </w:rPr>
        <w:t>(2001).</w:t>
      </w:r>
      <w:r>
        <w:rPr>
          <w:spacing w:val="-1"/>
          <w:sz w:val="24"/>
        </w:rPr>
        <w:t xml:space="preserve"> </w:t>
      </w:r>
      <w:r>
        <w:rPr>
          <w:i/>
          <w:sz w:val="24"/>
        </w:rPr>
        <w:t>Destruction and</w:t>
      </w:r>
      <w:r>
        <w:rPr>
          <w:i/>
          <w:spacing w:val="-1"/>
          <w:sz w:val="24"/>
        </w:rPr>
        <w:t xml:space="preserve"> </w:t>
      </w:r>
      <w:r>
        <w:rPr>
          <w:i/>
          <w:sz w:val="24"/>
        </w:rPr>
        <w:t>Conservation</w:t>
      </w:r>
      <w:r>
        <w:rPr>
          <w:i/>
          <w:spacing w:val="-1"/>
          <w:sz w:val="24"/>
        </w:rPr>
        <w:t xml:space="preserve"> </w:t>
      </w:r>
      <w:r>
        <w:rPr>
          <w:i/>
          <w:sz w:val="24"/>
        </w:rPr>
        <w:t>of Cultural</w:t>
      </w:r>
      <w:r>
        <w:rPr>
          <w:i/>
          <w:spacing w:val="-1"/>
          <w:sz w:val="24"/>
        </w:rPr>
        <w:t xml:space="preserve"> </w:t>
      </w:r>
      <w:r>
        <w:rPr>
          <w:i/>
          <w:sz w:val="24"/>
        </w:rPr>
        <w:t>Proper-</w:t>
      </w:r>
    </w:p>
    <w:p w14:paraId="7AB0FBB6" w14:textId="77777777" w:rsidR="00CE397E" w:rsidRDefault="00CE397E" w:rsidP="00CE397E">
      <w:pPr>
        <w:pStyle w:val="BodyText"/>
        <w:spacing w:before="64"/>
        <w:ind w:left="1180"/>
      </w:pPr>
      <w:r>
        <w:rPr>
          <w:i/>
        </w:rPr>
        <w:t>ty.</w:t>
      </w:r>
      <w:r>
        <w:rPr>
          <w:i/>
          <w:spacing w:val="-7"/>
        </w:rPr>
        <w:t xml:space="preserve"> </w:t>
      </w:r>
      <w:r>
        <w:t>London:</w:t>
      </w:r>
      <w:r>
        <w:rPr>
          <w:spacing w:val="-6"/>
        </w:rPr>
        <w:t xml:space="preserve"> </w:t>
      </w:r>
      <w:r>
        <w:t>Routledge.</w:t>
      </w:r>
    </w:p>
    <w:p w14:paraId="72B57791" w14:textId="77777777" w:rsidR="00CE397E" w:rsidRDefault="00CE397E" w:rsidP="00CE397E">
      <w:pPr>
        <w:pStyle w:val="BodyText"/>
        <w:spacing w:before="10"/>
        <w:rPr>
          <w:sz w:val="36"/>
        </w:rPr>
      </w:pPr>
    </w:p>
    <w:p w14:paraId="36B8D8A8" w14:textId="77777777" w:rsidR="00CE397E" w:rsidRDefault="00CE397E" w:rsidP="00CE397E">
      <w:pPr>
        <w:pStyle w:val="BodyA"/>
        <w:spacing w:line="240" w:lineRule="auto"/>
        <w:ind w:left="720" w:right="144"/>
        <w:jc w:val="both"/>
        <w:rPr>
          <w:rStyle w:val="None"/>
          <w:rFonts w:ascii="Times New Roman" w:eastAsia="Times New Roman" w:hAnsi="Times New Roman" w:cs="Times New Roman"/>
          <w:b/>
          <w:bCs/>
          <w:sz w:val="24"/>
          <w:szCs w:val="24"/>
          <w:lang w:val="en-GB"/>
        </w:rPr>
      </w:pPr>
      <w:r>
        <w:rPr>
          <w:b/>
        </w:rPr>
        <w:t xml:space="preserve">Unit-III: </w:t>
      </w:r>
      <w:r>
        <w:t>This unit addresses the challenges posed in the conservation of tangible and intangible</w:t>
      </w:r>
      <w:r>
        <w:rPr>
          <w:spacing w:val="1"/>
        </w:rPr>
        <w:t xml:space="preserve"> </w:t>
      </w:r>
      <w:r>
        <w:t>heritage. It also elaborates on the global character of the smuggling of antiquities and challenges</w:t>
      </w:r>
      <w:r>
        <w:rPr>
          <w:spacing w:val="1"/>
        </w:rPr>
        <w:t xml:space="preserve"> </w:t>
      </w:r>
      <w:r>
        <w:t>faced</w:t>
      </w:r>
      <w:r>
        <w:rPr>
          <w:spacing w:val="-1"/>
        </w:rPr>
        <w:t xml:space="preserve"> </w:t>
      </w:r>
      <w:r>
        <w:t>by</w:t>
      </w:r>
      <w:r>
        <w:rPr>
          <w:spacing w:val="-1"/>
        </w:rPr>
        <w:t xml:space="preserve"> </w:t>
      </w:r>
      <w:r>
        <w:t>the</w:t>
      </w:r>
      <w:r>
        <w:rPr>
          <w:spacing w:val="-2"/>
        </w:rPr>
        <w:t xml:space="preserve"> </w:t>
      </w:r>
      <w:r>
        <w:t>national</w:t>
      </w:r>
      <w:r>
        <w:rPr>
          <w:spacing w:val="-1"/>
        </w:rPr>
        <w:t xml:space="preserve"> </w:t>
      </w:r>
      <w:r>
        <w:t>governments.</w:t>
      </w:r>
      <w:r>
        <w:rPr>
          <w:rFonts w:ascii="Times New Roman" w:hAnsi="Times New Roman" w:cs="Times New Roman"/>
          <w:b/>
          <w:sz w:val="24"/>
          <w:szCs w:val="24"/>
        </w:rPr>
        <w:t xml:space="preserve"> (Teaching time:</w:t>
      </w:r>
      <w:r>
        <w:rPr>
          <w:rFonts w:ascii="Times New Roman" w:hAnsi="Times New Roman" w:cs="Times New Roman"/>
          <w:b/>
          <w:spacing w:val="-57"/>
          <w:sz w:val="24"/>
          <w:szCs w:val="24"/>
        </w:rPr>
        <w:t xml:space="preserve"> </w:t>
      </w:r>
      <w:r w:rsidR="003F6EAC">
        <w:rPr>
          <w:rFonts w:ascii="Times New Roman" w:hAnsi="Times New Roman" w:cs="Times New Roman"/>
          <w:b/>
          <w:sz w:val="24"/>
          <w:szCs w:val="24"/>
        </w:rPr>
        <w:t xml:space="preserve">4 </w:t>
      </w:r>
      <w:r>
        <w:rPr>
          <w:rFonts w:ascii="Times New Roman" w:hAnsi="Times New Roman" w:cs="Times New Roman"/>
          <w:b/>
          <w:sz w:val="24"/>
          <w:szCs w:val="24"/>
        </w:rPr>
        <w:t>weeks</w:t>
      </w:r>
      <w:r>
        <w:rPr>
          <w:rFonts w:ascii="Times New Roman" w:hAnsi="Times New Roman" w:cs="Times New Roman"/>
          <w:b/>
          <w:spacing w:val="-14"/>
          <w:sz w:val="24"/>
          <w:szCs w:val="24"/>
        </w:rPr>
        <w:t xml:space="preserve"> </w:t>
      </w:r>
      <w:r>
        <w:rPr>
          <w:rFonts w:ascii="Times New Roman" w:hAnsi="Times New Roman" w:cs="Times New Roman"/>
          <w:b/>
          <w:sz w:val="24"/>
          <w:szCs w:val="24"/>
        </w:rPr>
        <w:t>Approx.)</w:t>
      </w:r>
    </w:p>
    <w:p w14:paraId="6C5C7CEB" w14:textId="77777777" w:rsidR="00CE397E" w:rsidRDefault="00CE397E" w:rsidP="00CE397E">
      <w:pPr>
        <w:pStyle w:val="BodyText"/>
        <w:spacing w:line="292" w:lineRule="auto"/>
        <w:ind w:right="258"/>
        <w:jc w:val="both"/>
      </w:pPr>
    </w:p>
    <w:p w14:paraId="3331460C" w14:textId="77777777" w:rsidR="00CE397E" w:rsidRDefault="00CE397E" w:rsidP="00CE397E">
      <w:pPr>
        <w:pStyle w:val="BodyText"/>
        <w:spacing w:before="8"/>
        <w:rPr>
          <w:b/>
        </w:rPr>
      </w:pPr>
    </w:p>
    <w:p w14:paraId="04590BCF" w14:textId="77777777" w:rsidR="00CE397E" w:rsidRDefault="00CE397E" w:rsidP="00CE397E">
      <w:pPr>
        <w:pStyle w:val="ListParagraph"/>
        <w:widowControl w:val="0"/>
        <w:numPr>
          <w:ilvl w:val="1"/>
          <w:numId w:val="1"/>
        </w:numPr>
        <w:tabs>
          <w:tab w:val="left" w:pos="1180"/>
        </w:tabs>
        <w:autoSpaceDE w:val="0"/>
        <w:autoSpaceDN w:val="0"/>
        <w:spacing w:before="1" w:after="0" w:line="290" w:lineRule="auto"/>
        <w:ind w:right="258"/>
        <w:rPr>
          <w:rFonts w:ascii="Symbol" w:hAnsi="Symbol"/>
          <w:sz w:val="24"/>
        </w:rPr>
      </w:pPr>
      <w:r>
        <w:rPr>
          <w:sz w:val="24"/>
        </w:rPr>
        <w:t>Biswas, S.S.</w:t>
      </w:r>
      <w:r>
        <w:rPr>
          <w:spacing w:val="1"/>
          <w:sz w:val="24"/>
        </w:rPr>
        <w:t xml:space="preserve"> </w:t>
      </w:r>
      <w:r>
        <w:rPr>
          <w:sz w:val="24"/>
        </w:rPr>
        <w:t xml:space="preserve">(1999). </w:t>
      </w:r>
      <w:r>
        <w:rPr>
          <w:i/>
          <w:sz w:val="24"/>
        </w:rPr>
        <w:t>Protecting</w:t>
      </w:r>
      <w:r>
        <w:rPr>
          <w:i/>
          <w:spacing w:val="1"/>
          <w:sz w:val="24"/>
        </w:rPr>
        <w:t xml:space="preserve"> </w:t>
      </w:r>
      <w:r>
        <w:rPr>
          <w:i/>
          <w:sz w:val="24"/>
        </w:rPr>
        <w:t>the Cultural</w:t>
      </w:r>
      <w:r>
        <w:rPr>
          <w:i/>
          <w:spacing w:val="1"/>
          <w:sz w:val="24"/>
        </w:rPr>
        <w:t xml:space="preserve"> </w:t>
      </w:r>
      <w:r>
        <w:rPr>
          <w:i/>
          <w:sz w:val="24"/>
        </w:rPr>
        <w:t xml:space="preserve">Heritage </w:t>
      </w:r>
      <w:r>
        <w:rPr>
          <w:sz w:val="24"/>
        </w:rPr>
        <w:t>(National</w:t>
      </w:r>
      <w:r>
        <w:rPr>
          <w:spacing w:val="1"/>
          <w:sz w:val="24"/>
        </w:rPr>
        <w:t xml:space="preserve"> </w:t>
      </w:r>
      <w:r>
        <w:rPr>
          <w:sz w:val="24"/>
        </w:rPr>
        <w:t>Legislation and</w:t>
      </w:r>
      <w:r>
        <w:rPr>
          <w:spacing w:val="1"/>
          <w:sz w:val="24"/>
        </w:rPr>
        <w:t xml:space="preserve"> </w:t>
      </w:r>
      <w:r>
        <w:rPr>
          <w:sz w:val="24"/>
        </w:rPr>
        <w:t>International</w:t>
      </w:r>
      <w:r>
        <w:rPr>
          <w:spacing w:val="-57"/>
          <w:sz w:val="24"/>
        </w:rPr>
        <w:t xml:space="preserve"> </w:t>
      </w:r>
      <w:r>
        <w:rPr>
          <w:sz w:val="24"/>
        </w:rPr>
        <w:t>Conventions).</w:t>
      </w:r>
      <w:r>
        <w:rPr>
          <w:spacing w:val="-1"/>
          <w:sz w:val="24"/>
        </w:rPr>
        <w:t xml:space="preserve"> </w:t>
      </w:r>
      <w:r>
        <w:rPr>
          <w:sz w:val="24"/>
        </w:rPr>
        <w:t>New Delhi: INTACH.</w:t>
      </w:r>
    </w:p>
    <w:p w14:paraId="6726C8AE" w14:textId="77777777" w:rsidR="00CE397E" w:rsidRDefault="00CE397E" w:rsidP="00CE397E">
      <w:pPr>
        <w:pStyle w:val="ListParagraph"/>
        <w:widowControl w:val="0"/>
        <w:numPr>
          <w:ilvl w:val="1"/>
          <w:numId w:val="1"/>
        </w:numPr>
        <w:tabs>
          <w:tab w:val="left" w:pos="1180"/>
        </w:tabs>
        <w:autoSpaceDE w:val="0"/>
        <w:autoSpaceDN w:val="0"/>
        <w:spacing w:after="0" w:line="279" w:lineRule="exact"/>
        <w:rPr>
          <w:rFonts w:ascii="Symbol" w:hAnsi="Symbol"/>
          <w:i/>
          <w:sz w:val="24"/>
        </w:rPr>
      </w:pPr>
      <w:r>
        <w:rPr>
          <w:sz w:val="24"/>
        </w:rPr>
        <w:t>Lowenthal,</w:t>
      </w:r>
      <w:r>
        <w:rPr>
          <w:spacing w:val="7"/>
          <w:sz w:val="24"/>
        </w:rPr>
        <w:t xml:space="preserve"> </w:t>
      </w:r>
      <w:r>
        <w:rPr>
          <w:sz w:val="24"/>
        </w:rPr>
        <w:t>D.</w:t>
      </w:r>
      <w:r>
        <w:rPr>
          <w:spacing w:val="8"/>
          <w:sz w:val="24"/>
        </w:rPr>
        <w:t xml:space="preserve"> </w:t>
      </w:r>
      <w:r>
        <w:rPr>
          <w:sz w:val="24"/>
        </w:rPr>
        <w:t>(2010).</w:t>
      </w:r>
      <w:r>
        <w:rPr>
          <w:spacing w:val="7"/>
          <w:sz w:val="24"/>
        </w:rPr>
        <w:t xml:space="preserve"> </w:t>
      </w:r>
      <w:r>
        <w:rPr>
          <w:i/>
          <w:sz w:val="24"/>
        </w:rPr>
        <w:t>Possessed</w:t>
      </w:r>
      <w:r>
        <w:rPr>
          <w:i/>
          <w:spacing w:val="8"/>
          <w:sz w:val="24"/>
        </w:rPr>
        <w:t xml:space="preserve"> </w:t>
      </w:r>
      <w:r>
        <w:rPr>
          <w:i/>
          <w:sz w:val="24"/>
        </w:rPr>
        <w:t>By</w:t>
      </w:r>
      <w:r>
        <w:rPr>
          <w:i/>
          <w:spacing w:val="7"/>
          <w:sz w:val="24"/>
        </w:rPr>
        <w:t xml:space="preserve"> </w:t>
      </w:r>
      <w:r>
        <w:rPr>
          <w:i/>
          <w:sz w:val="24"/>
        </w:rPr>
        <w:t>The</w:t>
      </w:r>
      <w:r>
        <w:rPr>
          <w:i/>
          <w:spacing w:val="8"/>
          <w:sz w:val="24"/>
        </w:rPr>
        <w:t xml:space="preserve"> </w:t>
      </w:r>
      <w:r>
        <w:rPr>
          <w:i/>
          <w:sz w:val="24"/>
        </w:rPr>
        <w:t>Past:</w:t>
      </w:r>
      <w:r>
        <w:rPr>
          <w:i/>
          <w:spacing w:val="7"/>
          <w:sz w:val="24"/>
        </w:rPr>
        <w:t xml:space="preserve"> </w:t>
      </w:r>
      <w:r>
        <w:rPr>
          <w:i/>
          <w:sz w:val="24"/>
        </w:rPr>
        <w:t>The</w:t>
      </w:r>
      <w:r>
        <w:rPr>
          <w:i/>
          <w:spacing w:val="8"/>
          <w:sz w:val="24"/>
        </w:rPr>
        <w:t xml:space="preserve"> </w:t>
      </w:r>
      <w:r>
        <w:rPr>
          <w:i/>
          <w:sz w:val="24"/>
        </w:rPr>
        <w:t>Heritage</w:t>
      </w:r>
      <w:r>
        <w:rPr>
          <w:i/>
          <w:spacing w:val="7"/>
          <w:sz w:val="24"/>
        </w:rPr>
        <w:t xml:space="preserve"> </w:t>
      </w:r>
      <w:r>
        <w:rPr>
          <w:i/>
          <w:sz w:val="24"/>
        </w:rPr>
        <w:t>Crusade</w:t>
      </w:r>
      <w:r>
        <w:rPr>
          <w:i/>
          <w:spacing w:val="8"/>
          <w:sz w:val="24"/>
        </w:rPr>
        <w:t xml:space="preserve"> </w:t>
      </w:r>
      <w:r>
        <w:rPr>
          <w:i/>
          <w:sz w:val="24"/>
        </w:rPr>
        <w:t>and</w:t>
      </w:r>
      <w:r>
        <w:rPr>
          <w:i/>
          <w:spacing w:val="7"/>
          <w:sz w:val="24"/>
        </w:rPr>
        <w:t xml:space="preserve"> </w:t>
      </w:r>
      <w:r>
        <w:rPr>
          <w:i/>
          <w:sz w:val="24"/>
        </w:rPr>
        <w:t>The</w:t>
      </w:r>
      <w:r>
        <w:rPr>
          <w:i/>
          <w:spacing w:val="8"/>
          <w:sz w:val="24"/>
        </w:rPr>
        <w:t xml:space="preserve"> </w:t>
      </w:r>
      <w:r>
        <w:rPr>
          <w:i/>
          <w:sz w:val="24"/>
        </w:rPr>
        <w:t>Spoils</w:t>
      </w:r>
      <w:r>
        <w:rPr>
          <w:i/>
          <w:spacing w:val="8"/>
          <w:sz w:val="24"/>
        </w:rPr>
        <w:t xml:space="preserve"> </w:t>
      </w:r>
      <w:r>
        <w:rPr>
          <w:i/>
          <w:sz w:val="24"/>
        </w:rPr>
        <w:t>of</w:t>
      </w:r>
      <w:r>
        <w:rPr>
          <w:i/>
          <w:spacing w:val="7"/>
          <w:sz w:val="24"/>
        </w:rPr>
        <w:t xml:space="preserve"> </w:t>
      </w:r>
      <w:r>
        <w:rPr>
          <w:i/>
          <w:sz w:val="24"/>
        </w:rPr>
        <w:t>His-</w:t>
      </w:r>
    </w:p>
    <w:p w14:paraId="55EDBC29" w14:textId="77777777" w:rsidR="00CE397E" w:rsidRDefault="00CE397E" w:rsidP="00CE397E">
      <w:pPr>
        <w:pStyle w:val="BodyText"/>
        <w:spacing w:before="64"/>
        <w:ind w:left="1180"/>
      </w:pPr>
      <w:r>
        <w:rPr>
          <w:i/>
        </w:rPr>
        <w:t>tory.</w:t>
      </w:r>
      <w:r>
        <w:rPr>
          <w:i/>
          <w:spacing w:val="-6"/>
        </w:rPr>
        <w:t xml:space="preserve"> </w:t>
      </w:r>
      <w:r>
        <w:t>Cambridge:</w:t>
      </w:r>
      <w:r>
        <w:rPr>
          <w:spacing w:val="-4"/>
        </w:rPr>
        <w:t xml:space="preserve"> </w:t>
      </w:r>
      <w:r>
        <w:t>Cambridge</w:t>
      </w:r>
      <w:r>
        <w:rPr>
          <w:spacing w:val="-5"/>
        </w:rPr>
        <w:t xml:space="preserve"> </w:t>
      </w:r>
      <w:r>
        <w:t>University</w:t>
      </w:r>
      <w:r>
        <w:rPr>
          <w:spacing w:val="-4"/>
        </w:rPr>
        <w:t xml:space="preserve"> </w:t>
      </w:r>
      <w:r>
        <w:t>Press.</w:t>
      </w:r>
    </w:p>
    <w:p w14:paraId="1C5861E4" w14:textId="77777777" w:rsidR="00CE397E" w:rsidRDefault="00CE397E" w:rsidP="00CE397E">
      <w:pPr>
        <w:pStyle w:val="BodyA"/>
        <w:spacing w:line="240" w:lineRule="auto"/>
        <w:ind w:left="720" w:right="144"/>
        <w:jc w:val="both"/>
        <w:rPr>
          <w:rStyle w:val="None"/>
          <w:rFonts w:ascii="Times New Roman" w:hAnsi="Times New Roman" w:cs="Times New Roman"/>
          <w:b/>
          <w:bCs/>
          <w:sz w:val="24"/>
          <w:szCs w:val="24"/>
          <w:lang w:val="en-GB"/>
        </w:rPr>
      </w:pPr>
    </w:p>
    <w:p w14:paraId="05B01803" w14:textId="77777777" w:rsidR="00CE397E" w:rsidRDefault="00CE397E" w:rsidP="00CE397E">
      <w:pPr>
        <w:pStyle w:val="BodyA"/>
        <w:spacing w:line="240" w:lineRule="auto"/>
        <w:ind w:left="720" w:right="144"/>
        <w:jc w:val="both"/>
        <w:rPr>
          <w:rStyle w:val="None"/>
          <w:b/>
          <w:bCs/>
          <w:lang w:val="en-GB"/>
        </w:rPr>
      </w:pPr>
    </w:p>
    <w:p w14:paraId="4F95D6B3" w14:textId="77777777" w:rsidR="00CE397E" w:rsidRDefault="00CE397E" w:rsidP="00CE397E">
      <w:pPr>
        <w:pStyle w:val="BodyA"/>
        <w:spacing w:line="240" w:lineRule="auto"/>
        <w:ind w:right="144"/>
        <w:jc w:val="both"/>
        <w:rPr>
          <w:rStyle w:val="None"/>
          <w:rFonts w:eastAsia="Times New Roman"/>
          <w:b/>
          <w:bCs/>
          <w:lang w:val="en-GB"/>
        </w:rPr>
      </w:pPr>
      <w:r>
        <w:rPr>
          <w:rStyle w:val="None"/>
          <w:b/>
          <w:bCs/>
          <w:lang w:val="en-GB"/>
        </w:rPr>
        <w:t xml:space="preserve">Unit-IV: </w:t>
      </w:r>
      <w:r>
        <w:rPr>
          <w:rStyle w:val="None"/>
          <w:lang w:val="en-GB"/>
        </w:rPr>
        <w:t xml:space="preserve">This unit deals with social and political efforts to identify heritage as something personal or national. Over time antiquities have frequently ‘travelled’ from their place of origin, and the questions of belonging are contentious and complex. </w:t>
      </w:r>
      <w:r>
        <w:rPr>
          <w:rFonts w:ascii="Times New Roman" w:hAnsi="Times New Roman" w:cs="Times New Roman"/>
          <w:b/>
          <w:sz w:val="24"/>
          <w:szCs w:val="24"/>
        </w:rPr>
        <w:t>(Teaching time:</w:t>
      </w:r>
      <w:r>
        <w:rPr>
          <w:rFonts w:ascii="Times New Roman" w:hAnsi="Times New Roman" w:cs="Times New Roman"/>
          <w:b/>
          <w:spacing w:val="-57"/>
          <w:sz w:val="24"/>
          <w:szCs w:val="24"/>
        </w:rPr>
        <w:t xml:space="preserve"> </w:t>
      </w:r>
      <w:r>
        <w:rPr>
          <w:rFonts w:ascii="Times New Roman" w:hAnsi="Times New Roman" w:cs="Times New Roman"/>
          <w:b/>
          <w:sz w:val="24"/>
          <w:szCs w:val="24"/>
        </w:rPr>
        <w:t>3</w:t>
      </w:r>
      <w:r>
        <w:rPr>
          <w:rFonts w:ascii="Times New Roman" w:hAnsi="Times New Roman" w:cs="Times New Roman"/>
          <w:b/>
          <w:spacing w:val="-1"/>
          <w:sz w:val="24"/>
          <w:szCs w:val="24"/>
        </w:rPr>
        <w:t xml:space="preserve"> </w:t>
      </w:r>
      <w:r>
        <w:rPr>
          <w:rFonts w:ascii="Times New Roman" w:hAnsi="Times New Roman" w:cs="Times New Roman"/>
          <w:b/>
          <w:sz w:val="24"/>
          <w:szCs w:val="24"/>
        </w:rPr>
        <w:t>weeks</w:t>
      </w:r>
      <w:r>
        <w:rPr>
          <w:rFonts w:ascii="Times New Roman" w:hAnsi="Times New Roman" w:cs="Times New Roman"/>
          <w:b/>
          <w:spacing w:val="-14"/>
          <w:sz w:val="24"/>
          <w:szCs w:val="24"/>
        </w:rPr>
        <w:t xml:space="preserve"> </w:t>
      </w:r>
      <w:r>
        <w:rPr>
          <w:rFonts w:ascii="Times New Roman" w:hAnsi="Times New Roman" w:cs="Times New Roman"/>
          <w:b/>
          <w:sz w:val="24"/>
          <w:szCs w:val="24"/>
        </w:rPr>
        <w:t>Approx.)</w:t>
      </w:r>
    </w:p>
    <w:p w14:paraId="425A5FED" w14:textId="77777777" w:rsidR="00CE397E" w:rsidRDefault="00CE397E" w:rsidP="00CE397E">
      <w:pPr>
        <w:pStyle w:val="Body"/>
        <w:jc w:val="both"/>
        <w:rPr>
          <w:rStyle w:val="None"/>
          <w:lang w:val="en-GB"/>
        </w:rPr>
      </w:pPr>
    </w:p>
    <w:p w14:paraId="201EEB34" w14:textId="77777777" w:rsidR="00CE397E" w:rsidRDefault="00CE397E" w:rsidP="00CE397E">
      <w:pPr>
        <w:pStyle w:val="Body"/>
        <w:ind w:firstLine="720"/>
        <w:jc w:val="both"/>
        <w:rPr>
          <w:rStyle w:val="None"/>
          <w:b/>
          <w:bCs/>
          <w:lang w:val="en-GB"/>
        </w:rPr>
      </w:pPr>
      <w:r>
        <w:rPr>
          <w:rStyle w:val="None"/>
          <w:b/>
          <w:bCs/>
          <w:lang w:val="en-GB"/>
        </w:rPr>
        <w:t xml:space="preserve">Additional Readings: </w:t>
      </w:r>
    </w:p>
    <w:p w14:paraId="5D31F724" w14:textId="77777777" w:rsidR="00CE397E" w:rsidRDefault="00CE397E" w:rsidP="00CE397E">
      <w:pPr>
        <w:pStyle w:val="Body"/>
        <w:numPr>
          <w:ilvl w:val="0"/>
          <w:numId w:val="2"/>
        </w:numPr>
        <w:spacing w:line="360" w:lineRule="auto"/>
        <w:jc w:val="both"/>
      </w:pPr>
      <w:r>
        <w:t xml:space="preserve">CULTURAL AND ARCHAEOLOGICAL HERITAGE OF INDIA: CHALLENGES, PROSPECTS, AND DIRECTIONS Author(s): U.S. Moorti Source: Proceedings of the Indian History Congress , 2008, Vol. 69 (2008), pp. 992-1014 Published by: Indian History Congress Stable URL: </w:t>
      </w:r>
      <w:r>
        <w:fldChar w:fldCharType="begin"/>
      </w:r>
      <w:r>
        <w:instrText xml:space="preserve"> HYPERLINK "https://www.jstor.org/stable/44147261" </w:instrText>
      </w:r>
      <w:r>
        <w:fldChar w:fldCharType="separate"/>
      </w:r>
      <w:r>
        <w:rPr>
          <w:rStyle w:val="Hyperlink"/>
        </w:rPr>
        <w:t>https://www.jstor.org/stable/44147261</w:t>
      </w:r>
      <w:r>
        <w:rPr>
          <w:rStyle w:val="Hyperlink"/>
        </w:rPr>
        <w:fldChar w:fldCharType="end"/>
      </w:r>
    </w:p>
    <w:p w14:paraId="60E30455" w14:textId="77777777" w:rsidR="00CE397E" w:rsidRDefault="00CE397E" w:rsidP="00CE397E">
      <w:pPr>
        <w:pStyle w:val="Body"/>
        <w:spacing w:line="360" w:lineRule="auto"/>
        <w:ind w:left="1440"/>
        <w:jc w:val="both"/>
        <w:rPr>
          <w:rFonts w:cs="Times New Roman"/>
          <w:b/>
          <w:bCs/>
          <w:lang w:val="en-GB"/>
        </w:rPr>
      </w:pPr>
    </w:p>
    <w:p w14:paraId="002A0C12" w14:textId="77777777" w:rsidR="00CE397E" w:rsidRDefault="00CE397E" w:rsidP="00CE397E">
      <w:pPr>
        <w:pStyle w:val="Body"/>
        <w:numPr>
          <w:ilvl w:val="0"/>
          <w:numId w:val="2"/>
        </w:numPr>
        <w:spacing w:line="360" w:lineRule="auto"/>
        <w:jc w:val="both"/>
        <w:rPr>
          <w:rFonts w:cs="Times New Roman"/>
          <w:b/>
          <w:bCs/>
          <w:lang w:val="en-GB"/>
        </w:rPr>
      </w:pPr>
      <w:r>
        <w:rPr>
          <w:sz w:val="23"/>
          <w:szCs w:val="23"/>
        </w:rPr>
        <w:t xml:space="preserve">Monumental Follies Author(s): Nayanjot Lahiri Source: India International Centre Quarterly , WINTER 2006-SPRING 2007, Vol. 33, No. 3/4, India 60 (WINTER 2006-SPRING 2007), pp. 128-139 Published by: India International Centre Stable URL: </w:t>
      </w:r>
      <w:r>
        <w:fldChar w:fldCharType="begin"/>
      </w:r>
      <w:r>
        <w:instrText xml:space="preserve"> HYPERLINK "https://www.jstor.org/stable/23006075" </w:instrText>
      </w:r>
      <w:r>
        <w:fldChar w:fldCharType="separate"/>
      </w:r>
      <w:r>
        <w:rPr>
          <w:rStyle w:val="Hyperlink"/>
          <w:sz w:val="23"/>
          <w:szCs w:val="23"/>
        </w:rPr>
        <w:t>https://www.jstor.org/stable/23006075</w:t>
      </w:r>
      <w:r>
        <w:rPr>
          <w:rStyle w:val="Hyperlink"/>
          <w:sz w:val="23"/>
          <w:szCs w:val="23"/>
        </w:rPr>
        <w:fldChar w:fldCharType="end"/>
      </w:r>
    </w:p>
    <w:p w14:paraId="681DC430" w14:textId="77777777" w:rsidR="00CE397E" w:rsidRDefault="00CE397E" w:rsidP="00CE397E">
      <w:pPr>
        <w:pStyle w:val="ListParagraph"/>
        <w:rPr>
          <w:rFonts w:cs="Times New Roman"/>
          <w:b/>
          <w:bCs/>
          <w:lang w:val="en-GB"/>
        </w:rPr>
      </w:pPr>
    </w:p>
    <w:p w14:paraId="58FC4160" w14:textId="77777777" w:rsidR="00CE397E" w:rsidRDefault="00CE397E" w:rsidP="00CE397E">
      <w:pPr>
        <w:pStyle w:val="Body"/>
        <w:numPr>
          <w:ilvl w:val="0"/>
          <w:numId w:val="2"/>
        </w:numPr>
        <w:spacing w:line="360" w:lineRule="auto"/>
        <w:jc w:val="both"/>
        <w:rPr>
          <w:rFonts w:cs="Times New Roman"/>
          <w:b/>
          <w:bCs/>
          <w:lang w:val="en-GB"/>
        </w:rPr>
      </w:pPr>
      <w:r>
        <w:rPr>
          <w:sz w:val="23"/>
          <w:szCs w:val="23"/>
        </w:rPr>
        <w:t xml:space="preserve">DISCOURSES OF HERITAGE AND TOURISM AT A WORLD HERITAGE SITE: THE CASE OF HAMPI, INDIA Author(s): Matthew LeDuc Source: Practicing Anthropology , Summer 2012, Vol. 34, No. 3, Tourism: Beyond Hosts and Guests (Summer 2012), pp. 29-33 Published by: Society for Applied Anthropology Stable URL: </w:t>
      </w:r>
      <w:r>
        <w:fldChar w:fldCharType="begin"/>
      </w:r>
      <w:r>
        <w:instrText xml:space="preserve"> HYPERLINK "https://www.jstor.org/stable/24781880" </w:instrText>
      </w:r>
      <w:r>
        <w:fldChar w:fldCharType="separate"/>
      </w:r>
      <w:r>
        <w:rPr>
          <w:rStyle w:val="Hyperlink"/>
          <w:sz w:val="23"/>
          <w:szCs w:val="23"/>
        </w:rPr>
        <w:t>https://www.jstor.org/stable/24781880</w:t>
      </w:r>
      <w:r>
        <w:rPr>
          <w:rStyle w:val="Hyperlink"/>
          <w:sz w:val="23"/>
          <w:szCs w:val="23"/>
        </w:rPr>
        <w:fldChar w:fldCharType="end"/>
      </w:r>
    </w:p>
    <w:p w14:paraId="6064E33A" w14:textId="77777777" w:rsidR="00CE397E" w:rsidRDefault="00CE397E" w:rsidP="00CE397E">
      <w:pPr>
        <w:pStyle w:val="Body"/>
        <w:spacing w:line="360" w:lineRule="auto"/>
        <w:jc w:val="both"/>
        <w:rPr>
          <w:rFonts w:ascii="Calibri" w:eastAsia="Calibri" w:hAnsi="Calibri" w:cs="Times New Roman"/>
          <w:b/>
          <w:bCs/>
          <w:color w:val="auto"/>
          <w:sz w:val="22"/>
          <w:szCs w:val="20"/>
          <w:bdr w:val="none" w:sz="0" w:space="0" w:color="auto" w:frame="1"/>
          <w:lang w:val="en-GB" w:eastAsia="en-US"/>
        </w:rPr>
      </w:pPr>
      <w:r>
        <w:rPr>
          <w:rFonts w:ascii="Calibri" w:eastAsia="Calibri" w:hAnsi="Calibri" w:cs="Times New Roman"/>
          <w:b/>
          <w:bCs/>
          <w:color w:val="auto"/>
          <w:sz w:val="22"/>
          <w:szCs w:val="20"/>
          <w:bdr w:val="none" w:sz="0" w:space="0" w:color="auto" w:frame="1"/>
          <w:lang w:val="en-GB" w:eastAsia="en-US"/>
        </w:rPr>
        <w:t xml:space="preserve">                        </w:t>
      </w:r>
    </w:p>
    <w:p w14:paraId="196E22BB" w14:textId="77777777" w:rsidR="00CE397E" w:rsidRDefault="00CE397E" w:rsidP="00CE397E">
      <w:pPr>
        <w:pStyle w:val="Body"/>
        <w:spacing w:line="360" w:lineRule="auto"/>
        <w:jc w:val="both"/>
        <w:rPr>
          <w:rStyle w:val="None"/>
        </w:rPr>
      </w:pPr>
      <w:r>
        <w:rPr>
          <w:rFonts w:ascii="Calibri" w:eastAsia="Calibri" w:hAnsi="Calibri" w:cs="Times New Roman"/>
          <w:b/>
          <w:bCs/>
          <w:color w:val="auto"/>
          <w:sz w:val="22"/>
          <w:szCs w:val="20"/>
          <w:bdr w:val="none" w:sz="0" w:space="0" w:color="auto" w:frame="1"/>
          <w:lang w:val="en-GB" w:eastAsia="en-US"/>
        </w:rPr>
        <w:t xml:space="preserve">                         </w:t>
      </w:r>
      <w:r>
        <w:rPr>
          <w:rStyle w:val="None"/>
          <w:b/>
          <w:bCs/>
          <w:lang w:val="en-GB"/>
        </w:rPr>
        <w:t>SUGGESTED READINGS:</w:t>
      </w:r>
    </w:p>
    <w:p w14:paraId="313720AC" w14:textId="77777777" w:rsidR="00CE397E" w:rsidRDefault="00CE397E" w:rsidP="00CE397E">
      <w:pPr>
        <w:pStyle w:val="BodyA"/>
        <w:spacing w:line="240" w:lineRule="auto"/>
        <w:ind w:left="720" w:right="144"/>
        <w:jc w:val="both"/>
        <w:rPr>
          <w:rStyle w:val="None"/>
          <w:rFonts w:ascii="Times New Roman" w:eastAsia="Times New Roman" w:hAnsi="Times New Roman"/>
          <w:b/>
          <w:bCs/>
          <w:sz w:val="24"/>
          <w:szCs w:val="24"/>
          <w:lang w:val="en-GB"/>
        </w:rPr>
      </w:pPr>
    </w:p>
    <w:p w14:paraId="2AED3DED" w14:textId="77777777" w:rsidR="00CE397E" w:rsidRDefault="00CE397E" w:rsidP="00CE397E">
      <w:pPr>
        <w:pStyle w:val="Body"/>
        <w:numPr>
          <w:ilvl w:val="0"/>
          <w:numId w:val="3"/>
        </w:numPr>
        <w:ind w:right="144"/>
        <w:jc w:val="both"/>
        <w:rPr>
          <w:rStyle w:val="None"/>
          <w:lang w:val="en-GB"/>
        </w:rPr>
      </w:pPr>
      <w:r>
        <w:rPr>
          <w:rStyle w:val="None"/>
          <w:lang w:val="en-GB"/>
        </w:rPr>
        <w:t xml:space="preserve">Acts, Charters and Conventions are available on the UNESCO and ASI websites (www.unesco.org; </w:t>
      </w:r>
      <w:hyperlink r:id="rId5" w:history="1">
        <w:r>
          <w:rPr>
            <w:rStyle w:val="Hyperlink"/>
            <w:rFonts w:cs="Times New Roman"/>
            <w:lang w:val="en-GB"/>
          </w:rPr>
          <w:t>www.asi.nic.in</w:t>
        </w:r>
      </w:hyperlink>
      <w:r>
        <w:rPr>
          <w:rStyle w:val="None"/>
          <w:lang w:val="en-GB"/>
        </w:rPr>
        <w:t>)</w:t>
      </w:r>
    </w:p>
    <w:p w14:paraId="6A6D85F6" w14:textId="77777777" w:rsidR="00CE397E" w:rsidRDefault="00CE397E" w:rsidP="00CE397E">
      <w:pPr>
        <w:pStyle w:val="Body"/>
        <w:ind w:right="144"/>
        <w:jc w:val="both"/>
        <w:rPr>
          <w:rStyle w:val="None"/>
          <w:lang w:val="en-GB"/>
        </w:rPr>
      </w:pPr>
    </w:p>
    <w:p w14:paraId="06B9188B" w14:textId="77777777" w:rsidR="00CE397E" w:rsidRDefault="00CE397E" w:rsidP="00CE397E">
      <w:pPr>
        <w:pStyle w:val="Heading2"/>
      </w:pPr>
      <w:r>
        <w:t>Teaching</w:t>
      </w:r>
      <w:r>
        <w:rPr>
          <w:spacing w:val="-11"/>
        </w:rPr>
        <w:t xml:space="preserve"> </w:t>
      </w:r>
      <w:r>
        <w:t>Learning</w:t>
      </w:r>
      <w:r>
        <w:rPr>
          <w:spacing w:val="-10"/>
        </w:rPr>
        <w:t xml:space="preserve"> </w:t>
      </w:r>
      <w:r>
        <w:t>Process:</w:t>
      </w:r>
    </w:p>
    <w:p w14:paraId="05EF4EBD" w14:textId="77777777" w:rsidR="00CE397E" w:rsidRDefault="00CE397E" w:rsidP="00CE397E">
      <w:pPr>
        <w:pStyle w:val="BodyText"/>
        <w:spacing w:before="10"/>
        <w:rPr>
          <w:b/>
          <w:sz w:val="36"/>
        </w:rPr>
      </w:pPr>
    </w:p>
    <w:p w14:paraId="48AC4BA7" w14:textId="77777777" w:rsidR="00CE397E" w:rsidRDefault="00CE397E" w:rsidP="00CE397E">
      <w:pPr>
        <w:pStyle w:val="BodyText"/>
        <w:spacing w:line="295" w:lineRule="auto"/>
        <w:ind w:left="820" w:right="258"/>
        <w:jc w:val="both"/>
      </w:pPr>
      <w:r>
        <w:t>Virtual/ Online lectures on the key concepts, case studies and important arguments/debates reflected</w:t>
      </w:r>
      <w:r>
        <w:rPr>
          <w:spacing w:val="1"/>
        </w:rPr>
        <w:t xml:space="preserve"> </w:t>
      </w:r>
      <w:r>
        <w:t>in the course readings will be undertaken. Group discussions on specific</w:t>
      </w:r>
      <w:r>
        <w:rPr>
          <w:spacing w:val="1"/>
        </w:rPr>
        <w:t xml:space="preserve"> </w:t>
      </w:r>
      <w:r>
        <w:t>readings and presentations on various heritage sites will be taken during the lecture. Moreover, the process shall work</w:t>
      </w:r>
      <w:r>
        <w:rPr>
          <w:spacing w:val="-57"/>
        </w:rPr>
        <w:t xml:space="preserve"> </w:t>
      </w:r>
      <w:r>
        <w:t>towards pointing out the advantages of an interdisciplinary approach as students become aware of the politics of heritage sites sand step into the shoes of critical observers of the remnants of the past and complex</w:t>
      </w:r>
      <w:r>
        <w:rPr>
          <w:spacing w:val="-1"/>
        </w:rPr>
        <w:t xml:space="preserve"> </w:t>
      </w:r>
      <w:r>
        <w:t>present</w:t>
      </w:r>
      <w:r>
        <w:rPr>
          <w:spacing w:val="-1"/>
        </w:rPr>
        <w:t xml:space="preserve"> </w:t>
      </w:r>
      <w:r>
        <w:t>conditions.</w:t>
      </w:r>
    </w:p>
    <w:p w14:paraId="14DF18D7" w14:textId="77777777" w:rsidR="00CE397E" w:rsidRDefault="00CE397E" w:rsidP="00CE397E">
      <w:pPr>
        <w:pStyle w:val="BodyText"/>
        <w:spacing w:before="9"/>
        <w:rPr>
          <w:sz w:val="29"/>
        </w:rPr>
      </w:pPr>
    </w:p>
    <w:p w14:paraId="4DC8BB68" w14:textId="77777777" w:rsidR="00CE397E" w:rsidRDefault="00CE397E" w:rsidP="00CE397E">
      <w:pPr>
        <w:pStyle w:val="Heading2"/>
      </w:pPr>
      <w:r>
        <w:t>Assessment</w:t>
      </w:r>
      <w:r>
        <w:rPr>
          <w:spacing w:val="-2"/>
        </w:rPr>
        <w:t xml:space="preserve"> </w:t>
      </w:r>
      <w:r>
        <w:t>Methods:</w:t>
      </w:r>
    </w:p>
    <w:p w14:paraId="28CA73AD" w14:textId="77777777" w:rsidR="00CE397E" w:rsidRDefault="00CE397E" w:rsidP="00CE397E">
      <w:pPr>
        <w:pStyle w:val="BodyText"/>
        <w:spacing w:before="1"/>
        <w:rPr>
          <w:b/>
          <w:sz w:val="35"/>
        </w:rPr>
      </w:pPr>
    </w:p>
    <w:p w14:paraId="79C48717" w14:textId="77777777" w:rsidR="00CE397E" w:rsidRDefault="00CE397E" w:rsidP="00CE397E">
      <w:pPr>
        <w:pStyle w:val="BodyText"/>
        <w:spacing w:line="300" w:lineRule="auto"/>
        <w:ind w:left="820" w:right="258"/>
        <w:jc w:val="both"/>
      </w:pPr>
      <w:r>
        <w:t>Students will be assessed on the basis of regular group presentations and a detailed (individual)</w:t>
      </w:r>
      <w:r>
        <w:rPr>
          <w:spacing w:val="1"/>
        </w:rPr>
        <w:t xml:space="preserve"> </w:t>
      </w:r>
      <w:r>
        <w:t>project submission-cum-presentation. The project should be a professionally written and refer-</w:t>
      </w:r>
      <w:r>
        <w:rPr>
          <w:spacing w:val="1"/>
        </w:rPr>
        <w:t xml:space="preserve"> </w:t>
      </w:r>
      <w:proofErr w:type="spellStart"/>
      <w:r>
        <w:t>enced</w:t>
      </w:r>
      <w:proofErr w:type="spellEnd"/>
      <w:r>
        <w:t xml:space="preserve"> one, as well as creatively put together. The project has to be based on active field and li-</w:t>
      </w:r>
      <w:r>
        <w:rPr>
          <w:spacing w:val="1"/>
        </w:rPr>
        <w:t xml:space="preserve"> </w:t>
      </w:r>
      <w:proofErr w:type="spellStart"/>
      <w:r>
        <w:t>brary</w:t>
      </w:r>
      <w:proofErr w:type="spellEnd"/>
      <w:r>
        <w:t xml:space="preserve"> work and should reflect an analysis of primary source material and an engagement with</w:t>
      </w:r>
      <w:r>
        <w:rPr>
          <w:spacing w:val="1"/>
        </w:rPr>
        <w:t xml:space="preserve"> </w:t>
      </w:r>
      <w:r>
        <w:t>secondary</w:t>
      </w:r>
      <w:r>
        <w:rPr>
          <w:spacing w:val="-1"/>
        </w:rPr>
        <w:t xml:space="preserve"> </w:t>
      </w:r>
      <w:r>
        <w:t>material.</w:t>
      </w:r>
    </w:p>
    <w:p w14:paraId="037F75FE" w14:textId="77777777" w:rsidR="00CE397E" w:rsidRDefault="00CE397E" w:rsidP="00CE397E">
      <w:pPr>
        <w:pStyle w:val="BodyText"/>
        <w:spacing w:line="302" w:lineRule="auto"/>
        <w:ind w:left="820" w:right="6651"/>
        <w:rPr>
          <w:spacing w:val="-14"/>
        </w:rPr>
      </w:pPr>
      <w:r>
        <w:rPr>
          <w:spacing w:val="-1"/>
        </w:rPr>
        <w:t>Internal</w:t>
      </w:r>
      <w:r>
        <w:rPr>
          <w:spacing w:val="-14"/>
        </w:rPr>
        <w:t xml:space="preserve"> </w:t>
      </w:r>
    </w:p>
    <w:p w14:paraId="4BDE55D5" w14:textId="77777777" w:rsidR="00CE397E" w:rsidRDefault="00CE397E" w:rsidP="00CE397E">
      <w:pPr>
        <w:pStyle w:val="BodyText"/>
        <w:spacing w:line="302" w:lineRule="auto"/>
        <w:ind w:left="820" w:right="6651"/>
        <w:rPr>
          <w:spacing w:val="-14"/>
        </w:rPr>
      </w:pPr>
    </w:p>
    <w:p w14:paraId="2B8FADF0" w14:textId="77777777" w:rsidR="00CE397E" w:rsidRDefault="00CE397E" w:rsidP="00CE397E">
      <w:pPr>
        <w:pStyle w:val="BodyText"/>
        <w:spacing w:line="302" w:lineRule="auto"/>
        <w:ind w:left="820" w:right="6651"/>
      </w:pPr>
      <w:r>
        <w:lastRenderedPageBreak/>
        <w:t>Assessment: 25 Marks</w:t>
      </w:r>
      <w:r>
        <w:rPr>
          <w:spacing w:val="-57"/>
        </w:rPr>
        <w:t xml:space="preserve"> </w:t>
      </w:r>
      <w:r>
        <w:t>Written</w:t>
      </w:r>
      <w:r>
        <w:rPr>
          <w:spacing w:val="1"/>
        </w:rPr>
        <w:t xml:space="preserve"> </w:t>
      </w:r>
      <w:r>
        <w:t>Exam:</w:t>
      </w:r>
      <w:r>
        <w:rPr>
          <w:spacing w:val="1"/>
        </w:rPr>
        <w:t xml:space="preserve"> </w:t>
      </w:r>
      <w:r>
        <w:t>75</w:t>
      </w:r>
      <w:r>
        <w:rPr>
          <w:spacing w:val="1"/>
        </w:rPr>
        <w:t xml:space="preserve"> </w:t>
      </w:r>
      <w:r>
        <w:t>Marks</w:t>
      </w:r>
      <w:r>
        <w:rPr>
          <w:spacing w:val="1"/>
        </w:rPr>
        <w:t xml:space="preserve"> </w:t>
      </w:r>
      <w:r>
        <w:t>Total:</w:t>
      </w:r>
      <w:r>
        <w:rPr>
          <w:spacing w:val="-1"/>
        </w:rPr>
        <w:t xml:space="preserve"> </w:t>
      </w:r>
      <w:r>
        <w:t>100</w:t>
      </w:r>
      <w:r>
        <w:rPr>
          <w:spacing w:val="-1"/>
        </w:rPr>
        <w:t xml:space="preserve"> </w:t>
      </w:r>
      <w:r>
        <w:t>Marks</w:t>
      </w:r>
    </w:p>
    <w:p w14:paraId="421096B2" w14:textId="77777777" w:rsidR="00CE397E" w:rsidRDefault="00CE397E" w:rsidP="00CE397E">
      <w:pPr>
        <w:pStyle w:val="BodyText"/>
        <w:spacing w:before="2"/>
        <w:rPr>
          <w:sz w:val="28"/>
        </w:rPr>
      </w:pPr>
    </w:p>
    <w:p w14:paraId="11720196" w14:textId="77777777" w:rsidR="00CE397E" w:rsidRDefault="00CE397E" w:rsidP="00CE397E">
      <w:pPr>
        <w:pStyle w:val="Heading2"/>
      </w:pPr>
      <w:r>
        <w:t>Keywords:</w:t>
      </w:r>
    </w:p>
    <w:p w14:paraId="5DB37F94" w14:textId="77777777" w:rsidR="00CE397E" w:rsidRDefault="00CE397E" w:rsidP="00CE397E">
      <w:pPr>
        <w:pStyle w:val="BodyText"/>
        <w:spacing w:before="1"/>
        <w:rPr>
          <w:b/>
          <w:sz w:val="35"/>
        </w:rPr>
      </w:pPr>
    </w:p>
    <w:p w14:paraId="4A32316C" w14:textId="77777777" w:rsidR="00CE397E" w:rsidRDefault="00CE397E" w:rsidP="00CE397E">
      <w:pPr>
        <w:pStyle w:val="BodyText"/>
        <w:spacing w:before="1" w:line="312" w:lineRule="auto"/>
        <w:ind w:left="820"/>
      </w:pPr>
      <w:r>
        <w:t>Defining</w:t>
      </w:r>
      <w:r>
        <w:rPr>
          <w:spacing w:val="28"/>
        </w:rPr>
        <w:t xml:space="preserve"> </w:t>
      </w:r>
      <w:r>
        <w:t>Heritage,</w:t>
      </w:r>
      <w:r>
        <w:rPr>
          <w:spacing w:val="29"/>
        </w:rPr>
        <w:t xml:space="preserve"> </w:t>
      </w:r>
      <w:r>
        <w:t>National</w:t>
      </w:r>
      <w:r>
        <w:rPr>
          <w:spacing w:val="29"/>
        </w:rPr>
        <w:t xml:space="preserve"> </w:t>
      </w:r>
      <w:r>
        <w:t>and</w:t>
      </w:r>
      <w:r>
        <w:rPr>
          <w:spacing w:val="29"/>
        </w:rPr>
        <w:t xml:space="preserve"> </w:t>
      </w:r>
      <w:r>
        <w:t>International</w:t>
      </w:r>
      <w:r>
        <w:rPr>
          <w:spacing w:val="29"/>
        </w:rPr>
        <w:t xml:space="preserve"> </w:t>
      </w:r>
      <w:r>
        <w:t>legislation,</w:t>
      </w:r>
      <w:r>
        <w:rPr>
          <w:spacing w:val="29"/>
        </w:rPr>
        <w:t xml:space="preserve"> </w:t>
      </w:r>
      <w:r>
        <w:t>Government</w:t>
      </w:r>
      <w:r>
        <w:rPr>
          <w:spacing w:val="29"/>
        </w:rPr>
        <w:t xml:space="preserve"> </w:t>
      </w:r>
      <w:r>
        <w:t>departments,</w:t>
      </w:r>
      <w:r>
        <w:rPr>
          <w:spacing w:val="29"/>
        </w:rPr>
        <w:t xml:space="preserve"> </w:t>
      </w:r>
      <w:r>
        <w:t>Conservation,</w:t>
      </w:r>
      <w:r>
        <w:rPr>
          <w:spacing w:val="-6"/>
        </w:rPr>
        <w:t xml:space="preserve"> </w:t>
      </w:r>
      <w:r>
        <w:t>Tangible</w:t>
      </w:r>
      <w:r>
        <w:rPr>
          <w:spacing w:val="-1"/>
        </w:rPr>
        <w:t xml:space="preserve"> </w:t>
      </w:r>
      <w:r>
        <w:t>and</w:t>
      </w:r>
      <w:r>
        <w:rPr>
          <w:spacing w:val="-1"/>
        </w:rPr>
        <w:t xml:space="preserve"> </w:t>
      </w:r>
      <w:r>
        <w:t>intangible</w:t>
      </w:r>
      <w:r>
        <w:rPr>
          <w:spacing w:val="-1"/>
        </w:rPr>
        <w:t xml:space="preserve"> </w:t>
      </w:r>
      <w:r>
        <w:t>heritage,</w:t>
      </w:r>
      <w:r>
        <w:rPr>
          <w:spacing w:val="-6"/>
        </w:rPr>
        <w:t xml:space="preserve"> </w:t>
      </w:r>
      <w:r>
        <w:t>Travel</w:t>
      </w:r>
    </w:p>
    <w:p w14:paraId="029EE237" w14:textId="77777777" w:rsidR="006B6285" w:rsidRDefault="006B6285"/>
    <w:sectPr w:rsidR="006B6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43CE5"/>
    <w:multiLevelType w:val="hybridMultilevel"/>
    <w:tmpl w:val="A36A9640"/>
    <w:styleLink w:val="ImportedStyle325"/>
    <w:lvl w:ilvl="0" w:tplc="A270352A">
      <w:start w:val="1"/>
      <w:numFmt w:val="bullet"/>
      <w:lvlText w:val="·"/>
      <w:lvlJc w:val="left"/>
      <w:pPr>
        <w:ind w:left="14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E7F2CC7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DF3A46F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1C92854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5FF48DFE">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D7322CA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F3A0CC48">
      <w:start w:val="1"/>
      <w:numFmt w:val="bullet"/>
      <w:lvlText w:val="·"/>
      <w:lvlJc w:val="left"/>
      <w:pPr>
        <w:ind w:left="576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989C1DCC">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5E14822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15:restartNumberingAfterBreak="0">
    <w:nsid w:val="398E38AD"/>
    <w:multiLevelType w:val="hybridMultilevel"/>
    <w:tmpl w:val="240AF132"/>
    <w:lvl w:ilvl="0" w:tplc="9F90CFB6">
      <w:numFmt w:val="bullet"/>
      <w:lvlText w:val=""/>
      <w:lvlJc w:val="left"/>
      <w:pPr>
        <w:ind w:left="920" w:hanging="360"/>
      </w:pPr>
      <w:rPr>
        <w:rFonts w:ascii="Symbol" w:eastAsia="Symbol" w:hAnsi="Symbol" w:cs="Symbol" w:hint="default"/>
        <w:w w:val="100"/>
        <w:position w:val="4"/>
        <w:sz w:val="24"/>
        <w:szCs w:val="24"/>
        <w:lang w:val="en-US" w:eastAsia="en-US" w:bidi="ar-SA"/>
      </w:rPr>
    </w:lvl>
    <w:lvl w:ilvl="1" w:tplc="F10E42A4">
      <w:numFmt w:val="bullet"/>
      <w:lvlText w:val=""/>
      <w:lvlJc w:val="left"/>
      <w:pPr>
        <w:ind w:left="1180" w:hanging="360"/>
      </w:pPr>
      <w:rPr>
        <w:w w:val="100"/>
        <w:position w:val="4"/>
        <w:lang w:val="en-US" w:eastAsia="en-US" w:bidi="ar-SA"/>
      </w:rPr>
    </w:lvl>
    <w:lvl w:ilvl="2" w:tplc="0E22B010">
      <w:start w:val="14"/>
      <w:numFmt w:val="decimal"/>
      <w:lvlText w:val="%3-"/>
      <w:lvlJc w:val="left"/>
      <w:pPr>
        <w:ind w:left="1559" w:hanging="380"/>
      </w:pPr>
      <w:rPr>
        <w:rFonts w:ascii="Times New Roman" w:eastAsia="Times New Roman" w:hAnsi="Times New Roman" w:cs="Times New Roman" w:hint="default"/>
        <w:w w:val="100"/>
        <w:sz w:val="24"/>
        <w:szCs w:val="24"/>
        <w:lang w:val="en-US" w:eastAsia="en-US" w:bidi="ar-SA"/>
      </w:rPr>
    </w:lvl>
    <w:lvl w:ilvl="3" w:tplc="F958687E">
      <w:start w:val="1"/>
      <w:numFmt w:val="lowerLetter"/>
      <w:lvlText w:val="[%4]"/>
      <w:lvlJc w:val="left"/>
      <w:pPr>
        <w:ind w:left="2581" w:hanging="322"/>
      </w:pPr>
      <w:rPr>
        <w:rFonts w:ascii="Times New Roman" w:eastAsia="Times New Roman" w:hAnsi="Times New Roman" w:cs="Times New Roman" w:hint="default"/>
        <w:spacing w:val="-1"/>
        <w:w w:val="100"/>
        <w:sz w:val="24"/>
        <w:szCs w:val="24"/>
        <w:lang w:val="en-US" w:eastAsia="en-US" w:bidi="ar-SA"/>
      </w:rPr>
    </w:lvl>
    <w:lvl w:ilvl="4" w:tplc="FFB69682">
      <w:numFmt w:val="bullet"/>
      <w:lvlText w:val="•"/>
      <w:lvlJc w:val="left"/>
      <w:pPr>
        <w:ind w:left="3702" w:hanging="322"/>
      </w:pPr>
      <w:rPr>
        <w:lang w:val="en-US" w:eastAsia="en-US" w:bidi="ar-SA"/>
      </w:rPr>
    </w:lvl>
    <w:lvl w:ilvl="5" w:tplc="7BEC7FAA">
      <w:numFmt w:val="bullet"/>
      <w:lvlText w:val="•"/>
      <w:lvlJc w:val="left"/>
      <w:pPr>
        <w:ind w:left="4825" w:hanging="322"/>
      </w:pPr>
      <w:rPr>
        <w:lang w:val="en-US" w:eastAsia="en-US" w:bidi="ar-SA"/>
      </w:rPr>
    </w:lvl>
    <w:lvl w:ilvl="6" w:tplc="FFD6679E">
      <w:numFmt w:val="bullet"/>
      <w:lvlText w:val="•"/>
      <w:lvlJc w:val="left"/>
      <w:pPr>
        <w:ind w:left="5948" w:hanging="322"/>
      </w:pPr>
      <w:rPr>
        <w:lang w:val="en-US" w:eastAsia="en-US" w:bidi="ar-SA"/>
      </w:rPr>
    </w:lvl>
    <w:lvl w:ilvl="7" w:tplc="9B48B9D6">
      <w:numFmt w:val="bullet"/>
      <w:lvlText w:val="•"/>
      <w:lvlJc w:val="left"/>
      <w:pPr>
        <w:ind w:left="7071" w:hanging="322"/>
      </w:pPr>
      <w:rPr>
        <w:lang w:val="en-US" w:eastAsia="en-US" w:bidi="ar-SA"/>
      </w:rPr>
    </w:lvl>
    <w:lvl w:ilvl="8" w:tplc="FA22B18A">
      <w:numFmt w:val="bullet"/>
      <w:lvlText w:val="•"/>
      <w:lvlJc w:val="left"/>
      <w:pPr>
        <w:ind w:left="8194" w:hanging="322"/>
      </w:pPr>
      <w:rPr>
        <w:lang w:val="en-US" w:eastAsia="en-US" w:bidi="ar-SA"/>
      </w:rPr>
    </w:lvl>
  </w:abstractNum>
  <w:abstractNum w:abstractNumId="2" w15:restartNumberingAfterBreak="0">
    <w:nsid w:val="492D77AB"/>
    <w:multiLevelType w:val="hybridMultilevel"/>
    <w:tmpl w:val="A36A9640"/>
    <w:numStyleLink w:val="ImportedStyle325"/>
  </w:abstractNum>
  <w:abstractNum w:abstractNumId="3" w15:restartNumberingAfterBreak="0">
    <w:nsid w:val="603A65A5"/>
    <w:multiLevelType w:val="hybridMultilevel"/>
    <w:tmpl w:val="66C0351E"/>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start w:val="1"/>
      <w:numFmt w:val="bullet"/>
      <w:lvlText w:val=""/>
      <w:lvlJc w:val="left"/>
      <w:pPr>
        <w:ind w:left="2880" w:hanging="360"/>
      </w:pPr>
      <w:rPr>
        <w:rFonts w:ascii="Wingdings" w:hAnsi="Wingdings" w:hint="default"/>
      </w:rPr>
    </w:lvl>
    <w:lvl w:ilvl="3" w:tplc="40090001">
      <w:start w:val="1"/>
      <w:numFmt w:val="bullet"/>
      <w:lvlText w:val=""/>
      <w:lvlJc w:val="left"/>
      <w:pPr>
        <w:ind w:left="3600" w:hanging="360"/>
      </w:pPr>
      <w:rPr>
        <w:rFonts w:ascii="Symbol" w:hAnsi="Symbol" w:hint="default"/>
      </w:rPr>
    </w:lvl>
    <w:lvl w:ilvl="4" w:tplc="40090003">
      <w:start w:val="1"/>
      <w:numFmt w:val="bullet"/>
      <w:lvlText w:val="o"/>
      <w:lvlJc w:val="left"/>
      <w:pPr>
        <w:ind w:left="4320" w:hanging="360"/>
      </w:pPr>
      <w:rPr>
        <w:rFonts w:ascii="Courier New" w:hAnsi="Courier New" w:cs="Courier New" w:hint="default"/>
      </w:rPr>
    </w:lvl>
    <w:lvl w:ilvl="5" w:tplc="40090005">
      <w:start w:val="1"/>
      <w:numFmt w:val="bullet"/>
      <w:lvlText w:val=""/>
      <w:lvlJc w:val="left"/>
      <w:pPr>
        <w:ind w:left="5040" w:hanging="360"/>
      </w:pPr>
      <w:rPr>
        <w:rFonts w:ascii="Wingdings" w:hAnsi="Wingdings" w:hint="default"/>
      </w:rPr>
    </w:lvl>
    <w:lvl w:ilvl="6" w:tplc="40090001">
      <w:start w:val="1"/>
      <w:numFmt w:val="bullet"/>
      <w:lvlText w:val=""/>
      <w:lvlJc w:val="left"/>
      <w:pPr>
        <w:ind w:left="5760" w:hanging="360"/>
      </w:pPr>
      <w:rPr>
        <w:rFonts w:ascii="Symbol" w:hAnsi="Symbol" w:hint="default"/>
      </w:rPr>
    </w:lvl>
    <w:lvl w:ilvl="7" w:tplc="40090003">
      <w:start w:val="1"/>
      <w:numFmt w:val="bullet"/>
      <w:lvlText w:val="o"/>
      <w:lvlJc w:val="left"/>
      <w:pPr>
        <w:ind w:left="6480" w:hanging="360"/>
      </w:pPr>
      <w:rPr>
        <w:rFonts w:ascii="Courier New" w:hAnsi="Courier New" w:cs="Courier New" w:hint="default"/>
      </w:rPr>
    </w:lvl>
    <w:lvl w:ilvl="8" w:tplc="40090005">
      <w:start w:val="1"/>
      <w:numFmt w:val="bullet"/>
      <w:lvlText w:val=""/>
      <w:lvlJc w:val="left"/>
      <w:pPr>
        <w:ind w:left="7200" w:hanging="360"/>
      </w:pPr>
      <w:rPr>
        <w:rFonts w:ascii="Wingdings" w:hAnsi="Wingdings" w:hint="default"/>
      </w:rPr>
    </w:lvl>
  </w:abstractNum>
  <w:num w:numId="1" w16cid:durableId="1332100186">
    <w:abstractNumId w:val="1"/>
    <w:lvlOverride w:ilvl="0"/>
    <w:lvlOverride w:ilvl="1"/>
    <w:lvlOverride w:ilvl="2">
      <w:startOverride w:val="14"/>
    </w:lvlOverride>
    <w:lvlOverride w:ilvl="3">
      <w:startOverride w:val="1"/>
    </w:lvlOverride>
    <w:lvlOverride w:ilvl="4"/>
    <w:lvlOverride w:ilvl="5"/>
    <w:lvlOverride w:ilvl="6"/>
    <w:lvlOverride w:ilvl="7"/>
    <w:lvlOverride w:ilvl="8"/>
  </w:num>
  <w:num w:numId="2" w16cid:durableId="433940871">
    <w:abstractNumId w:val="3"/>
  </w:num>
  <w:num w:numId="3" w16cid:durableId="1310477757">
    <w:abstractNumId w:val="2"/>
  </w:num>
  <w:num w:numId="4" w16cid:durableId="1232740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FBF"/>
    <w:rsid w:val="002539BA"/>
    <w:rsid w:val="003F6EAC"/>
    <w:rsid w:val="00472773"/>
    <w:rsid w:val="0062052E"/>
    <w:rsid w:val="006B6285"/>
    <w:rsid w:val="00745927"/>
    <w:rsid w:val="00CE397E"/>
    <w:rsid w:val="00EA3FB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2AB16"/>
  <w15:chartTrackingRefBased/>
  <w15:docId w15:val="{6402E3CF-05CD-49E9-89AD-D03389A4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97E"/>
    <w:pPr>
      <w:spacing w:after="200" w:line="276" w:lineRule="auto"/>
    </w:pPr>
    <w:rPr>
      <w:rFonts w:eastAsiaTheme="minorEastAsia"/>
    </w:rPr>
  </w:style>
  <w:style w:type="paragraph" w:styleId="Heading2">
    <w:name w:val="heading 2"/>
    <w:basedOn w:val="Normal"/>
    <w:link w:val="Heading2Char"/>
    <w:uiPriority w:val="9"/>
    <w:semiHidden/>
    <w:unhideWhenUsed/>
    <w:qFormat/>
    <w:rsid w:val="00CE397E"/>
    <w:pPr>
      <w:widowControl w:val="0"/>
      <w:autoSpaceDE w:val="0"/>
      <w:autoSpaceDN w:val="0"/>
      <w:spacing w:after="0" w:line="240" w:lineRule="auto"/>
      <w:ind w:left="820"/>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E397E"/>
    <w:rPr>
      <w:rFonts w:ascii="Times New Roman" w:eastAsia="Times New Roman" w:hAnsi="Times New Roman" w:cs="Times New Roman"/>
      <w:b/>
      <w:bCs/>
      <w:sz w:val="24"/>
      <w:szCs w:val="24"/>
    </w:rPr>
  </w:style>
  <w:style w:type="paragraph" w:styleId="ListParagraph">
    <w:name w:val="List Paragraph"/>
    <w:basedOn w:val="Normal"/>
    <w:uiPriority w:val="34"/>
    <w:qFormat/>
    <w:rsid w:val="00CE397E"/>
    <w:pPr>
      <w:ind w:left="720"/>
      <w:contextualSpacing/>
    </w:pPr>
  </w:style>
  <w:style w:type="paragraph" w:customStyle="1" w:styleId="Body">
    <w:name w:val="Body"/>
    <w:rsid w:val="00CE397E"/>
    <w:pPr>
      <w:spacing w:after="0" w:line="240" w:lineRule="auto"/>
    </w:pPr>
    <w:rPr>
      <w:rFonts w:ascii="Times New Roman" w:eastAsia="Arial Unicode MS" w:hAnsi="Times New Roman" w:cs="Arial Unicode MS"/>
      <w:color w:val="000000"/>
      <w:sz w:val="24"/>
      <w:szCs w:val="24"/>
      <w:u w:color="000000"/>
      <w:lang w:val="quz-BO" w:eastAsia="quz-BO" w:bidi="hi-IN"/>
    </w:rPr>
  </w:style>
  <w:style w:type="paragraph" w:customStyle="1" w:styleId="BodyA">
    <w:name w:val="Body A"/>
    <w:rsid w:val="00CE397E"/>
    <w:pPr>
      <w:spacing w:after="0" w:line="276" w:lineRule="auto"/>
    </w:pPr>
    <w:rPr>
      <w:rFonts w:ascii="Arial" w:eastAsia="Arial" w:hAnsi="Arial" w:cs="Arial"/>
      <w:color w:val="000000"/>
      <w:u w:color="000000"/>
      <w:lang w:eastAsia="quz-BO" w:bidi="hi-IN"/>
    </w:rPr>
  </w:style>
  <w:style w:type="character" w:customStyle="1" w:styleId="None">
    <w:name w:val="None"/>
    <w:rsid w:val="00CE397E"/>
  </w:style>
  <w:style w:type="character" w:styleId="Hyperlink">
    <w:name w:val="Hyperlink"/>
    <w:basedOn w:val="DefaultParagraphFont"/>
    <w:uiPriority w:val="99"/>
    <w:semiHidden/>
    <w:unhideWhenUsed/>
    <w:rsid w:val="00CE397E"/>
    <w:rPr>
      <w:color w:val="0563C1" w:themeColor="hyperlink"/>
      <w:u w:val="single"/>
    </w:rPr>
  </w:style>
  <w:style w:type="paragraph" w:styleId="BodyText">
    <w:name w:val="Body Text"/>
    <w:basedOn w:val="Normal"/>
    <w:link w:val="BodyTextChar"/>
    <w:uiPriority w:val="1"/>
    <w:unhideWhenUsed/>
    <w:qFormat/>
    <w:rsid w:val="00CE397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E397E"/>
    <w:rPr>
      <w:rFonts w:ascii="Times New Roman" w:eastAsia="Times New Roman" w:hAnsi="Times New Roman" w:cs="Times New Roman"/>
      <w:sz w:val="24"/>
      <w:szCs w:val="24"/>
    </w:rPr>
  </w:style>
  <w:style w:type="numbering" w:customStyle="1" w:styleId="ImportedStyle325">
    <w:name w:val="Imported Style 325"/>
    <w:rsid w:val="00CE397E"/>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si.nic.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874</Words>
  <Characters>5088</Characters>
  <Application>Microsoft Office Word</Application>
  <DocSecurity>0</DocSecurity>
  <Lines>66</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Kirti Anamika</cp:lastModifiedBy>
  <cp:revision>2</cp:revision>
  <dcterms:created xsi:type="dcterms:W3CDTF">2022-09-13T15:01:00Z</dcterms:created>
  <dcterms:modified xsi:type="dcterms:W3CDTF">2022-09-13T15:01:00Z</dcterms:modified>
</cp:coreProperties>
</file>